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仿宋_GB2312" w:cs="Times New Roman"/>
          <w:b/>
          <w:sz w:val="44"/>
          <w:szCs w:val="44"/>
        </w:rPr>
      </w:pPr>
    </w:p>
    <w:p>
      <w:pPr>
        <w:spacing w:line="360" w:lineRule="auto"/>
        <w:jc w:val="center"/>
        <w:rPr>
          <w:rFonts w:ascii="仿宋" w:hAnsi="仿宋" w:eastAsia="仿宋" w:cs="仿宋"/>
          <w:b/>
          <w:sz w:val="52"/>
          <w:szCs w:val="52"/>
        </w:rPr>
      </w:pPr>
    </w:p>
    <w:p>
      <w:pPr>
        <w:widowControl/>
        <w:adjustRightInd w:val="0"/>
        <w:snapToGrid w:val="0"/>
        <w:jc w:val="center"/>
        <w:rPr>
          <w:rFonts w:ascii="Times New Roman" w:hAnsi="Times New Roman" w:eastAsia="仿宋" w:cs="Times New Roman"/>
          <w:b/>
          <w:bCs/>
          <w:sz w:val="52"/>
          <w:szCs w:val="52"/>
        </w:rPr>
      </w:pPr>
      <w:r>
        <w:rPr>
          <w:rFonts w:ascii="Times New Roman" w:hAnsi="Times New Roman" w:eastAsia="仿宋" w:cs="Times New Roman"/>
          <w:b/>
          <w:bCs/>
          <w:sz w:val="52"/>
          <w:szCs w:val="52"/>
        </w:rPr>
        <w:t>西咸新区秦汉新城朝阳污水处理厂</w:t>
      </w:r>
    </w:p>
    <w:p>
      <w:pPr>
        <w:widowControl/>
        <w:adjustRightInd w:val="0"/>
        <w:snapToGrid w:val="0"/>
        <w:spacing w:line="360" w:lineRule="auto"/>
        <w:jc w:val="center"/>
        <w:rPr>
          <w:rFonts w:ascii="仿宋" w:hAnsi="仿宋" w:eastAsia="仿宋" w:cs="仿宋"/>
          <w:b/>
          <w:sz w:val="52"/>
          <w:szCs w:val="52"/>
        </w:rPr>
      </w:pPr>
      <w:r>
        <w:rPr>
          <w:rFonts w:hint="eastAsia" w:ascii="Times New Roman" w:hAnsi="Times New Roman" w:eastAsia="仿宋" w:cs="Times New Roman"/>
          <w:b/>
          <w:bCs/>
          <w:sz w:val="52"/>
          <w:szCs w:val="52"/>
        </w:rPr>
        <w:t>突发环境事件应急预案编制说明</w:t>
      </w:r>
    </w:p>
    <w:p>
      <w:pPr>
        <w:spacing w:line="360" w:lineRule="auto"/>
        <w:jc w:val="center"/>
        <w:rPr>
          <w:rFonts w:ascii="Times New Roman" w:hAnsi="Times New Roman" w:eastAsia="仿宋_GB2312" w:cs="Times New Roman"/>
          <w:b/>
          <w:sz w:val="44"/>
          <w:szCs w:val="44"/>
        </w:rP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rPr>
          <w:rFonts w:hint="eastAsia"/>
        </w:rPr>
      </w:pPr>
    </w:p>
    <w:p>
      <w:pPr>
        <w:pStyle w:val="2"/>
        <w:rPr>
          <w:rFonts w:hint="eastAsia"/>
        </w:rPr>
      </w:pPr>
    </w:p>
    <w:p>
      <w:pPr>
        <w:rPr>
          <w:rFonts w:hint="eastAsia"/>
        </w:rPr>
      </w:pPr>
    </w:p>
    <w:p>
      <w:pPr>
        <w:spacing w:line="360" w:lineRule="auto"/>
        <w:jc w:val="center"/>
      </w:pPr>
    </w:p>
    <w:p>
      <w:pPr>
        <w:jc w:val="center"/>
        <w:rPr>
          <w:rFonts w:ascii="Times New Roman" w:hAnsi="Times New Roman" w:eastAsia="仿宋" w:cs="Times New Roman"/>
          <w:b/>
          <w:sz w:val="36"/>
          <w:szCs w:val="36"/>
        </w:rPr>
      </w:pPr>
      <w:r>
        <w:rPr>
          <w:rFonts w:hint="eastAsia" w:ascii="Times New Roman" w:hAnsi="Times New Roman" w:eastAsia="仿宋" w:cs="Times New Roman"/>
          <w:b/>
          <w:sz w:val="36"/>
          <w:szCs w:val="36"/>
        </w:rPr>
        <w:t>陕西西咸新区中天润博水务有限公司</w:t>
      </w:r>
    </w:p>
    <w:p>
      <w:pPr>
        <w:spacing w:line="360" w:lineRule="auto"/>
        <w:jc w:val="center"/>
        <w:rPr>
          <w:rFonts w:ascii="Times New Roman" w:hAnsi="Times New Roman" w:eastAsia="仿宋" w:cs="Times New Roman"/>
          <w:b/>
          <w:bCs/>
          <w:sz w:val="36"/>
          <w:szCs w:val="36"/>
        </w:rPr>
      </w:pPr>
      <w:r>
        <w:rPr>
          <w:rFonts w:hint="eastAsia" w:ascii="Times New Roman" w:hAnsi="Times New Roman" w:eastAsia="仿宋" w:cs="Times New Roman"/>
          <w:b/>
          <w:bCs/>
          <w:sz w:val="36"/>
          <w:szCs w:val="36"/>
        </w:rPr>
        <w:t xml:space="preserve">   </w:t>
      </w:r>
      <w:r>
        <w:rPr>
          <w:rFonts w:ascii="Times New Roman" w:hAnsi="Times New Roman" w:eastAsia="仿宋" w:cs="Times New Roman"/>
          <w:b/>
          <w:bCs/>
          <w:sz w:val="36"/>
          <w:szCs w:val="36"/>
        </w:rPr>
        <w:t>二</w:t>
      </w:r>
      <w:r>
        <w:rPr>
          <w:rFonts w:hint="eastAsia" w:ascii="Times New Roman" w:hAnsi="Times New Roman" w:eastAsia="仿宋" w:cs="Times New Roman"/>
          <w:b/>
          <w:bCs/>
          <w:sz w:val="36"/>
          <w:szCs w:val="36"/>
        </w:rPr>
        <w:t>〇</w:t>
      </w:r>
      <w:r>
        <w:rPr>
          <w:rFonts w:ascii="Times New Roman" w:hAnsi="Times New Roman" w:eastAsia="仿宋" w:cs="Times New Roman"/>
          <w:b/>
          <w:bCs/>
          <w:sz w:val="36"/>
          <w:szCs w:val="36"/>
        </w:rPr>
        <w:t>一</w:t>
      </w:r>
      <w:r>
        <w:rPr>
          <w:rFonts w:hint="eastAsia" w:ascii="Times New Roman" w:hAnsi="Times New Roman" w:eastAsia="仿宋" w:cs="Times New Roman"/>
          <w:b/>
          <w:bCs/>
          <w:sz w:val="36"/>
          <w:szCs w:val="36"/>
        </w:rPr>
        <w:t>八</w:t>
      </w:r>
      <w:r>
        <w:rPr>
          <w:rFonts w:ascii="Times New Roman" w:hAnsi="Times New Roman" w:eastAsia="仿宋" w:cs="Times New Roman"/>
          <w:b/>
          <w:bCs/>
          <w:sz w:val="36"/>
          <w:szCs w:val="36"/>
        </w:rPr>
        <w:t>年</w:t>
      </w:r>
      <w:r>
        <w:rPr>
          <w:rFonts w:hint="eastAsia" w:ascii="Times New Roman" w:hAnsi="Times New Roman" w:eastAsia="仿宋" w:cs="Times New Roman"/>
          <w:b/>
          <w:bCs/>
          <w:sz w:val="36"/>
          <w:szCs w:val="36"/>
        </w:rPr>
        <w:t>八</w:t>
      </w:r>
      <w:r>
        <w:rPr>
          <w:rFonts w:ascii="Times New Roman" w:hAnsi="Times New Roman" w:eastAsia="仿宋" w:cs="Times New Roman"/>
          <w:b/>
          <w:bCs/>
          <w:sz w:val="36"/>
          <w:szCs w:val="36"/>
        </w:rPr>
        <w:t>月</w:t>
      </w:r>
    </w:p>
    <w:p>
      <w:pPr>
        <w:spacing w:line="360" w:lineRule="auto"/>
        <w:jc w:val="center"/>
        <w:rPr>
          <w:rFonts w:ascii="Times New Roman" w:hAnsi="Times New Roman" w:eastAsia="仿宋" w:cs="Times New Roman"/>
          <w:b/>
          <w:bCs/>
          <w:sz w:val="32"/>
          <w:szCs w:val="32"/>
        </w:rPr>
      </w:pPr>
      <w:r>
        <w:rPr>
          <w:rFonts w:ascii="Times New Roman" w:hAnsi="Times New Roman" w:eastAsia="仿宋" w:cs="Times New Roman"/>
          <w:b/>
          <w:bCs/>
          <w:sz w:val="32"/>
          <w:szCs w:val="32"/>
        </w:rPr>
        <w:br w:type="page"/>
      </w:r>
    </w:p>
    <w:p>
      <w:pPr>
        <w:jc w:val="center"/>
        <w:rPr>
          <w:rFonts w:ascii="Times New Roman" w:hAnsi="Times New Roman" w:eastAsia="仿宋" w:cs="Times New Roman"/>
          <w:b/>
          <w:bCs/>
          <w:sz w:val="32"/>
          <w:szCs w:val="32"/>
        </w:rPr>
      </w:pPr>
      <w:bookmarkStart w:id="0" w:name="_Toc18612"/>
      <w:r>
        <w:rPr>
          <w:rFonts w:ascii="Times New Roman" w:hAnsi="Times New Roman" w:eastAsia="仿宋" w:cs="Times New Roman"/>
          <w:b/>
          <w:bCs/>
          <w:sz w:val="32"/>
          <w:szCs w:val="32"/>
        </w:rPr>
        <w:t>目 录</w:t>
      </w:r>
    </w:p>
    <w:p>
      <w:pPr>
        <w:pStyle w:val="11"/>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600" w:lineRule="exact"/>
        <w:textAlignment w:val="auto"/>
        <w:outlineLvl w:val="9"/>
        <w:rPr>
          <w:rFonts w:hint="default" w:ascii="Times New Roman" w:hAnsi="Times New Roman" w:eastAsia="仿宋" w:cs="Times New Roman"/>
          <w:sz w:val="24"/>
          <w:szCs w:val="24"/>
        </w:rPr>
      </w:pPr>
      <w:bookmarkStart w:id="154" w:name="_GoBack"/>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TOC \o "1-3" \h \u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_Toc12828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1预案编制的目的和依据</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_Toc12828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3"/>
        <w:keepNext w:val="0"/>
        <w:keepLines w:val="0"/>
        <w:pageBreakBefore w:val="0"/>
        <w:widowControl w:val="0"/>
        <w:tabs>
          <w:tab w:val="right" w:leader="dot" w:pos="9072"/>
        </w:tabs>
        <w:kinsoku/>
        <w:wordWrap/>
        <w:overflowPunct/>
        <w:topLinePunct w:val="0"/>
        <w:autoSpaceDE/>
        <w:autoSpaceDN/>
        <w:bidi w:val="0"/>
        <w:adjustRightInd/>
        <w:snapToGrid/>
        <w:spacing w:line="6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_Toc8695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1.1预案编制的目的</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_Toc8695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3"/>
        <w:keepNext w:val="0"/>
        <w:keepLines w:val="0"/>
        <w:pageBreakBefore w:val="0"/>
        <w:widowControl w:val="0"/>
        <w:tabs>
          <w:tab w:val="right" w:leader="dot" w:pos="9072"/>
        </w:tabs>
        <w:kinsoku/>
        <w:wordWrap/>
        <w:overflowPunct/>
        <w:topLinePunct w:val="0"/>
        <w:autoSpaceDE/>
        <w:autoSpaceDN/>
        <w:bidi w:val="0"/>
        <w:adjustRightInd/>
        <w:snapToGrid/>
        <w:spacing w:line="6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_Toc14420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1.2预案编制的依据</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_Toc14420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8"/>
        <w:keepNext w:val="0"/>
        <w:keepLines w:val="0"/>
        <w:pageBreakBefore w:val="0"/>
        <w:widowControl w:val="0"/>
        <w:tabs>
          <w:tab w:val="right" w:leader="dot" w:pos="9072"/>
        </w:tabs>
        <w:kinsoku/>
        <w:wordWrap/>
        <w:overflowPunct/>
        <w:topLinePunct w:val="0"/>
        <w:autoSpaceDE/>
        <w:autoSpaceDN/>
        <w:bidi w:val="0"/>
        <w:adjustRightInd/>
        <w:snapToGrid/>
        <w:spacing w:line="6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_Toc9809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1.2.1法律法规</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_Toc9809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8"/>
        <w:keepNext w:val="0"/>
        <w:keepLines w:val="0"/>
        <w:pageBreakBefore w:val="0"/>
        <w:widowControl w:val="0"/>
        <w:tabs>
          <w:tab w:val="right" w:leader="dot" w:pos="9072"/>
        </w:tabs>
        <w:kinsoku/>
        <w:wordWrap/>
        <w:overflowPunct/>
        <w:topLinePunct w:val="0"/>
        <w:autoSpaceDE/>
        <w:autoSpaceDN/>
        <w:bidi w:val="0"/>
        <w:adjustRightInd/>
        <w:snapToGrid/>
        <w:spacing w:line="6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_Toc11419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1.2.2规章制度</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_Toc11419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2</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8"/>
        <w:keepNext w:val="0"/>
        <w:keepLines w:val="0"/>
        <w:pageBreakBefore w:val="0"/>
        <w:widowControl w:val="0"/>
        <w:tabs>
          <w:tab w:val="right" w:leader="dot" w:pos="9072"/>
        </w:tabs>
        <w:kinsoku/>
        <w:wordWrap/>
        <w:overflowPunct/>
        <w:topLinePunct w:val="0"/>
        <w:autoSpaceDE/>
        <w:autoSpaceDN/>
        <w:bidi w:val="0"/>
        <w:adjustRightInd/>
        <w:snapToGrid/>
        <w:spacing w:line="6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_Toc6505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1.2.3相关标准</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_Toc6505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8"/>
        <w:keepNext w:val="0"/>
        <w:keepLines w:val="0"/>
        <w:pageBreakBefore w:val="0"/>
        <w:widowControl w:val="0"/>
        <w:tabs>
          <w:tab w:val="right" w:leader="dot" w:pos="9072"/>
        </w:tabs>
        <w:kinsoku/>
        <w:wordWrap/>
        <w:overflowPunct/>
        <w:topLinePunct w:val="0"/>
        <w:autoSpaceDE/>
        <w:autoSpaceDN/>
        <w:bidi w:val="0"/>
        <w:adjustRightInd/>
        <w:snapToGrid/>
        <w:spacing w:line="6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_Toc17069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1.2.4其他资料</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_Toc17069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4</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1"/>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6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_Toc27594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2预案编制的指导思想和编制原则</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_Toc27594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5</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3"/>
        <w:keepNext w:val="0"/>
        <w:keepLines w:val="0"/>
        <w:pageBreakBefore w:val="0"/>
        <w:widowControl w:val="0"/>
        <w:tabs>
          <w:tab w:val="right" w:leader="dot" w:pos="9072"/>
        </w:tabs>
        <w:kinsoku/>
        <w:wordWrap/>
        <w:overflowPunct/>
        <w:topLinePunct w:val="0"/>
        <w:autoSpaceDE/>
        <w:autoSpaceDN/>
        <w:bidi w:val="0"/>
        <w:adjustRightInd/>
        <w:snapToGrid/>
        <w:spacing w:line="6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_Toc26082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2.1指导思想</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_Toc26082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5</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3"/>
        <w:keepNext w:val="0"/>
        <w:keepLines w:val="0"/>
        <w:pageBreakBefore w:val="0"/>
        <w:widowControl w:val="0"/>
        <w:tabs>
          <w:tab w:val="right" w:leader="dot" w:pos="9072"/>
        </w:tabs>
        <w:kinsoku/>
        <w:wordWrap/>
        <w:overflowPunct/>
        <w:topLinePunct w:val="0"/>
        <w:autoSpaceDE/>
        <w:autoSpaceDN/>
        <w:bidi w:val="0"/>
        <w:adjustRightInd/>
        <w:snapToGrid/>
        <w:spacing w:line="6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_Toc10945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2.2工作原则</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_Toc10945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5</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1"/>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6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_Toc18529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3预案编制的简要过程</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_Toc18529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6</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1"/>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6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_Toc22964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4预案的主要内容</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_Toc22964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7</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1"/>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6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_Toc6738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5征求意见及采纳情况说明</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_Toc6738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8</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1"/>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6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_Toc8485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6评审情况说明</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_Toc8485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9</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pPr>
      <w:r>
        <w:rPr>
          <w:rFonts w:hint="default" w:ascii="Times New Roman" w:hAnsi="Times New Roman" w:eastAsia="仿宋" w:cs="Times New Roman"/>
          <w:sz w:val="24"/>
          <w:szCs w:val="24"/>
        </w:rPr>
        <w:fldChar w:fldCharType="end"/>
      </w:r>
      <w:bookmarkEnd w:id="154"/>
    </w:p>
    <w:p>
      <w:pPr>
        <w:pStyle w:val="3"/>
        <w:spacing w:line="360" w:lineRule="auto"/>
        <w:sectPr>
          <w:pgSz w:w="11906" w:h="16838"/>
          <w:pgMar w:top="1417" w:right="1417" w:bottom="1417" w:left="1417" w:header="851" w:footer="992" w:gutter="0"/>
          <w:cols w:space="0" w:num="1"/>
          <w:docGrid w:type="lines" w:linePitch="389" w:charSpace="0"/>
        </w:sectPr>
      </w:pPr>
    </w:p>
    <w:p>
      <w:pPr>
        <w:pStyle w:val="3"/>
        <w:spacing w:line="360" w:lineRule="auto"/>
      </w:pPr>
      <w:bookmarkStart w:id="1" w:name="_Toc12828"/>
      <w:r>
        <w:t>1预案编制的目的和依据</w:t>
      </w:r>
      <w:bookmarkEnd w:id="0"/>
      <w:bookmarkEnd w:id="1"/>
    </w:p>
    <w:p>
      <w:pPr>
        <w:pStyle w:val="2"/>
        <w:spacing w:line="360" w:lineRule="auto"/>
        <w:rPr>
          <w:rFonts w:eastAsia="仿宋_GB2312"/>
          <w:b w:val="0"/>
          <w:sz w:val="28"/>
          <w:szCs w:val="28"/>
        </w:rPr>
      </w:pPr>
      <w:bookmarkStart w:id="2" w:name="_Toc12623"/>
      <w:bookmarkStart w:id="3" w:name="_Toc8695"/>
      <w:r>
        <w:t>1.1预案编制的目的</w:t>
      </w:r>
      <w:bookmarkEnd w:id="2"/>
      <w:bookmarkEnd w:id="3"/>
    </w:p>
    <w:p>
      <w:pPr>
        <w:widowControl/>
        <w:adjustRightInd w:val="0"/>
        <w:snapToGrid w:val="0"/>
        <w:spacing w:line="360" w:lineRule="auto"/>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 xml:space="preserve">    </w:t>
      </w:r>
      <w:r>
        <w:rPr>
          <w:rFonts w:ascii="Times New Roman" w:hAnsi="Times New Roman" w:eastAsia="仿宋_GB2312" w:cs="Times New Roman"/>
          <w:sz w:val="28"/>
          <w:szCs w:val="28"/>
        </w:rPr>
        <w:t>为保障西咸新区秦汉新城朝阳污水处理厂环保安全，有效预防、及时控制和消除突发环境事件的危害，提高应急能力，规范处置程序、明确相关职责，确保迅速有效地处理突发性局部或区域环境污染事故，指导和规范突发性环境污染和生态破坏事件的应急处理工作，将事故造成的损失降低到最小程度，最大限度地</w:t>
      </w:r>
      <w:r>
        <w:rPr>
          <w:rFonts w:hint="eastAsia" w:ascii="Times New Roman" w:hAnsi="Times New Roman" w:eastAsia="仿宋_GB2312" w:cs="Times New Roman"/>
          <w:sz w:val="28"/>
          <w:szCs w:val="28"/>
        </w:rPr>
        <w:t>预防生产范围内环境污染问题</w:t>
      </w:r>
      <w:r>
        <w:rPr>
          <w:rFonts w:ascii="Times New Roman" w:hAnsi="Times New Roman" w:eastAsia="仿宋_GB2312" w:cs="Times New Roman"/>
          <w:sz w:val="28"/>
          <w:szCs w:val="28"/>
        </w:rPr>
        <w:t>，特制定本预案。本预案将对实际发生的环境风险事故和紧急情况作出响应，预防和减少伴</w:t>
      </w:r>
    </w:p>
    <w:p>
      <w:pPr>
        <w:widowControl/>
        <w:adjustRightInd w:val="0"/>
        <w:snapToGrid w:val="0"/>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随的环境影响。</w:t>
      </w:r>
      <w:r>
        <w:rPr>
          <w:rFonts w:hint="eastAsia" w:ascii="Times New Roman" w:hAnsi="Times New Roman" w:eastAsia="仿宋_GB2312" w:cs="Times New Roman"/>
          <w:sz w:val="28"/>
          <w:szCs w:val="28"/>
        </w:rPr>
        <w:t>编制程序如下：</w:t>
      </w:r>
    </w:p>
    <w:p>
      <w:bookmarkStart w:id="4" w:name="_Toc274"/>
      <w:bookmarkStart w:id="5" w:name="_Toc2275"/>
      <w:r>
        <w:drawing>
          <wp:inline distT="0" distB="0" distL="114300" distR="114300">
            <wp:extent cx="5755005" cy="3840480"/>
            <wp:effectExtent l="0" t="0" r="5715"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5"/>
                    <a:stretch>
                      <a:fillRect/>
                    </a:stretch>
                  </pic:blipFill>
                  <pic:spPr>
                    <a:xfrm>
                      <a:off x="0" y="0"/>
                      <a:ext cx="5755005" cy="3840480"/>
                    </a:xfrm>
                    <a:prstGeom prst="rect">
                      <a:avLst/>
                    </a:prstGeom>
                    <a:noFill/>
                    <a:ln w="9525">
                      <a:noFill/>
                    </a:ln>
                  </pic:spPr>
                </pic:pic>
              </a:graphicData>
            </a:graphic>
          </wp:inline>
        </w:drawing>
      </w:r>
      <w:bookmarkEnd w:id="4"/>
      <w:bookmarkEnd w:id="5"/>
    </w:p>
    <w:p>
      <w:pPr>
        <w:pStyle w:val="2"/>
        <w:spacing w:line="360" w:lineRule="auto"/>
      </w:pPr>
      <w:bookmarkStart w:id="6" w:name="_Toc24312"/>
      <w:bookmarkStart w:id="7" w:name="_Toc14420"/>
      <w:r>
        <w:t>1.2预案编制的依据</w:t>
      </w:r>
      <w:bookmarkEnd w:id="6"/>
      <w:bookmarkEnd w:id="7"/>
    </w:p>
    <w:p>
      <w:pPr>
        <w:pStyle w:val="4"/>
        <w:keepNext w:val="0"/>
        <w:keepLines w:val="0"/>
        <w:spacing w:line="360" w:lineRule="auto"/>
        <w:ind w:left="420"/>
        <w:rPr>
          <w:rFonts w:eastAsia="仿宋_GB2312"/>
          <w:b w:val="0"/>
          <w:szCs w:val="28"/>
        </w:rPr>
      </w:pPr>
      <w:bookmarkStart w:id="8" w:name="_Toc16869"/>
      <w:bookmarkStart w:id="9" w:name="_Toc29733"/>
      <w:bookmarkStart w:id="10" w:name="_Toc4004"/>
      <w:bookmarkStart w:id="11" w:name="_Toc26831"/>
      <w:bookmarkStart w:id="12" w:name="_Toc17171"/>
      <w:bookmarkStart w:id="13" w:name="_Toc11484"/>
      <w:bookmarkStart w:id="14" w:name="_Toc9809"/>
      <w:bookmarkStart w:id="15" w:name="_Toc9428"/>
      <w:r>
        <w:rPr>
          <w:rFonts w:eastAsia="仿宋_GB2312"/>
          <w:b w:val="0"/>
          <w:szCs w:val="28"/>
        </w:rPr>
        <w:t>1.2.1法律法规</w:t>
      </w:r>
      <w:bookmarkEnd w:id="8"/>
      <w:bookmarkEnd w:id="9"/>
      <w:bookmarkEnd w:id="10"/>
      <w:bookmarkEnd w:id="11"/>
      <w:bookmarkEnd w:id="12"/>
      <w:bookmarkEnd w:id="13"/>
      <w:bookmarkEnd w:id="14"/>
    </w:p>
    <w:p>
      <w:pPr>
        <w:spacing w:line="360" w:lineRule="auto"/>
        <w:ind w:left="200" w:firstLine="560"/>
        <w:rPr>
          <w:rFonts w:ascii="Times New Roman" w:hAnsi="Times New Roman" w:eastAsia="仿宋_GB2312" w:cs="Times New Roman"/>
          <w:sz w:val="28"/>
          <w:szCs w:val="28"/>
        </w:rPr>
      </w:pPr>
      <w:bookmarkStart w:id="16" w:name="_Toc28348"/>
      <w:bookmarkStart w:id="17" w:name="_Toc15103"/>
      <w:bookmarkStart w:id="18" w:name="_Toc20918"/>
      <w:bookmarkStart w:id="19" w:name="_Toc5928"/>
      <w:bookmarkStart w:id="20" w:name="_Toc24871"/>
      <w:bookmarkStart w:id="21" w:name="_Toc13425"/>
      <w:bookmarkStart w:id="22" w:name="_Toc16102"/>
      <w:bookmarkStart w:id="23" w:name="_Toc16163"/>
      <w:r>
        <w:rPr>
          <w:rFonts w:ascii="Times New Roman" w:hAnsi="Times New Roman" w:eastAsia="仿宋_GB2312" w:cs="Times New Roman"/>
          <w:sz w:val="28"/>
          <w:szCs w:val="28"/>
        </w:rPr>
        <w:t>（1）《中华人民共和国环境保护法》（2014年主席令第九号），2015年1月1日；</w:t>
      </w:r>
      <w:bookmarkEnd w:id="16"/>
      <w:bookmarkEnd w:id="17"/>
      <w:bookmarkEnd w:id="18"/>
      <w:bookmarkEnd w:id="19"/>
      <w:bookmarkEnd w:id="20"/>
      <w:bookmarkEnd w:id="21"/>
      <w:bookmarkEnd w:id="22"/>
      <w:bookmarkEnd w:id="23"/>
    </w:p>
    <w:p>
      <w:pPr>
        <w:spacing w:line="360" w:lineRule="auto"/>
        <w:ind w:left="200" w:firstLine="560"/>
        <w:rPr>
          <w:rFonts w:ascii="Times New Roman" w:hAnsi="Times New Roman" w:eastAsia="仿宋_GB2312" w:cs="Times New Roman"/>
          <w:sz w:val="28"/>
          <w:szCs w:val="28"/>
        </w:rPr>
      </w:pPr>
      <w:bookmarkStart w:id="24" w:name="_Toc18480"/>
      <w:bookmarkStart w:id="25" w:name="_Toc5969"/>
      <w:bookmarkStart w:id="26" w:name="_Toc7699"/>
      <w:bookmarkStart w:id="27" w:name="_Toc20569"/>
      <w:bookmarkStart w:id="28" w:name="_Toc31282"/>
      <w:bookmarkStart w:id="29" w:name="_Toc3081"/>
      <w:bookmarkStart w:id="30" w:name="_Toc26459"/>
      <w:bookmarkStart w:id="31" w:name="_Toc12928"/>
      <w:r>
        <w:rPr>
          <w:rFonts w:ascii="Times New Roman" w:hAnsi="Times New Roman" w:eastAsia="仿宋_GB2312" w:cs="Times New Roman"/>
          <w:sz w:val="28"/>
          <w:szCs w:val="28"/>
        </w:rPr>
        <w:t>（2）《中华人民共和国水污染防治法》（2008年主席令第八十七号），2008年6月1日；</w:t>
      </w:r>
      <w:bookmarkEnd w:id="24"/>
      <w:bookmarkEnd w:id="25"/>
      <w:bookmarkEnd w:id="26"/>
      <w:bookmarkEnd w:id="27"/>
      <w:bookmarkEnd w:id="28"/>
      <w:bookmarkEnd w:id="29"/>
      <w:bookmarkEnd w:id="30"/>
      <w:bookmarkEnd w:id="31"/>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（3）《中华人民共和国大气污染防治法》（2015年主席令第三十一号），2016年1月1日；</w:t>
      </w:r>
    </w:p>
    <w:p>
      <w:pPr>
        <w:spacing w:line="360" w:lineRule="auto"/>
        <w:ind w:left="200" w:firstLine="560"/>
        <w:rPr>
          <w:rFonts w:ascii="Times New Roman" w:hAnsi="Times New Roman" w:eastAsia="仿宋_GB2312" w:cs="Times New Roman"/>
          <w:sz w:val="28"/>
          <w:szCs w:val="28"/>
        </w:rPr>
      </w:pPr>
      <w:bookmarkStart w:id="32" w:name="_Toc909"/>
      <w:bookmarkStart w:id="33" w:name="_Toc9189"/>
      <w:bookmarkStart w:id="34" w:name="_Toc20981"/>
      <w:bookmarkStart w:id="35" w:name="_Toc26703"/>
      <w:bookmarkStart w:id="36" w:name="_Toc16680"/>
      <w:bookmarkStart w:id="37" w:name="_Toc3697"/>
      <w:bookmarkStart w:id="38" w:name="_Toc28966"/>
      <w:bookmarkStart w:id="39" w:name="_Toc5066"/>
      <w:r>
        <w:rPr>
          <w:rFonts w:ascii="Times New Roman" w:hAnsi="Times New Roman" w:eastAsia="仿宋_GB2312" w:cs="Times New Roman"/>
          <w:sz w:val="28"/>
          <w:szCs w:val="28"/>
        </w:rPr>
        <w:t>（4）《中华人民共和国固体废物污染环境防治法》，2016年11月</w:t>
      </w:r>
      <w:bookmarkEnd w:id="32"/>
      <w:bookmarkEnd w:id="33"/>
      <w:bookmarkEnd w:id="34"/>
      <w:bookmarkEnd w:id="35"/>
      <w:bookmarkEnd w:id="36"/>
      <w:bookmarkEnd w:id="37"/>
      <w:bookmarkEnd w:id="38"/>
      <w:bookmarkEnd w:id="39"/>
      <w:r>
        <w:rPr>
          <w:rFonts w:ascii="Times New Roman" w:hAnsi="Times New Roman" w:eastAsia="仿宋_GB2312" w:cs="Times New Roman"/>
          <w:sz w:val="28"/>
          <w:szCs w:val="28"/>
        </w:rPr>
        <w:t>；</w:t>
      </w:r>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（5）《中华人民共和国环境噪声污染防治法》（1996年主席令第77号），1997年3月1日；</w:t>
      </w:r>
    </w:p>
    <w:p>
      <w:pPr>
        <w:spacing w:line="360" w:lineRule="auto"/>
        <w:ind w:left="200" w:firstLine="560"/>
        <w:rPr>
          <w:rFonts w:ascii="Times New Roman" w:hAnsi="Times New Roman" w:eastAsia="仿宋_GB2312" w:cs="Times New Roman"/>
          <w:sz w:val="28"/>
          <w:szCs w:val="28"/>
        </w:rPr>
      </w:pPr>
      <w:bookmarkStart w:id="40" w:name="_Toc3773"/>
      <w:bookmarkStart w:id="41" w:name="_Toc16681"/>
      <w:bookmarkStart w:id="42" w:name="_Toc30442"/>
      <w:bookmarkStart w:id="43" w:name="_Toc22398"/>
      <w:bookmarkStart w:id="44" w:name="_Toc8538"/>
      <w:bookmarkStart w:id="45" w:name="_Toc3704"/>
      <w:bookmarkStart w:id="46" w:name="_Toc7266"/>
      <w:r>
        <w:rPr>
          <w:rFonts w:ascii="Times New Roman" w:hAnsi="Times New Roman" w:eastAsia="仿宋_GB2312" w:cs="Times New Roman"/>
          <w:sz w:val="28"/>
          <w:szCs w:val="28"/>
        </w:rPr>
        <w:t>（6）《中华人民共和国突发事件应对法》（2007年主席令第六十九号），2007年11月1日；</w:t>
      </w:r>
      <w:bookmarkEnd w:id="40"/>
      <w:bookmarkEnd w:id="41"/>
      <w:bookmarkEnd w:id="42"/>
      <w:bookmarkEnd w:id="43"/>
      <w:bookmarkEnd w:id="44"/>
      <w:bookmarkEnd w:id="45"/>
      <w:bookmarkEnd w:id="46"/>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（7）《国家突发环境事件应急预案》（国办函〔2014〕119号），2014年12月29日。</w:t>
      </w:r>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（8）《咸阳市应急预案管理办法》；</w:t>
      </w:r>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（9）《咸阳市突发环境事件应急预案》；</w:t>
      </w:r>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（10）《中华人民共和国环境影响评价法》，2016年9月；</w:t>
      </w:r>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（11）《危险化学品重大危险源辨识》（GB18218-2009）；</w:t>
      </w:r>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（12）《突发环境事件应急监测技术规范》（HJ589-2010）。</w:t>
      </w:r>
    </w:p>
    <w:p>
      <w:pPr>
        <w:pStyle w:val="4"/>
        <w:keepNext w:val="0"/>
        <w:keepLines w:val="0"/>
        <w:spacing w:line="360" w:lineRule="auto"/>
        <w:ind w:left="420"/>
        <w:rPr>
          <w:rFonts w:eastAsia="仿宋_GB2312"/>
          <w:b w:val="0"/>
          <w:szCs w:val="28"/>
        </w:rPr>
      </w:pPr>
      <w:bookmarkStart w:id="47" w:name="_Toc19431"/>
      <w:bookmarkStart w:id="48" w:name="_Toc1123"/>
      <w:bookmarkStart w:id="49" w:name="_Toc31548"/>
      <w:bookmarkStart w:id="50" w:name="_Toc27162"/>
      <w:bookmarkStart w:id="51" w:name="_Toc31750"/>
      <w:bookmarkStart w:id="52" w:name="_Toc11419"/>
      <w:r>
        <w:rPr>
          <w:rFonts w:eastAsia="仿宋_GB2312"/>
          <w:b w:val="0"/>
          <w:szCs w:val="28"/>
        </w:rPr>
        <w:t>1.2.2规章制度</w:t>
      </w:r>
      <w:bookmarkEnd w:id="47"/>
      <w:bookmarkEnd w:id="48"/>
      <w:bookmarkEnd w:id="49"/>
      <w:bookmarkEnd w:id="50"/>
      <w:bookmarkEnd w:id="51"/>
      <w:bookmarkEnd w:id="52"/>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（1）《国务院关于加强环境保护重点工作的意见》，（国发[2011] 35号）；</w:t>
      </w:r>
    </w:p>
    <w:p>
      <w:pPr>
        <w:spacing w:line="360" w:lineRule="auto"/>
        <w:ind w:left="200" w:firstLine="560"/>
        <w:rPr>
          <w:rFonts w:ascii="Times New Roman" w:hAnsi="Times New Roman" w:eastAsia="仿宋_GB2312" w:cs="Times New Roman"/>
          <w:sz w:val="28"/>
          <w:szCs w:val="28"/>
        </w:rPr>
      </w:pPr>
      <w:bookmarkStart w:id="53" w:name="_Toc15352"/>
      <w:bookmarkStart w:id="54" w:name="_Toc15639"/>
      <w:bookmarkStart w:id="55" w:name="_Toc25039"/>
      <w:bookmarkStart w:id="56" w:name="_Toc3979"/>
      <w:bookmarkStart w:id="57" w:name="_Toc2082"/>
      <w:bookmarkStart w:id="58" w:name="_Toc27620"/>
      <w:bookmarkStart w:id="59" w:name="_Toc25550"/>
      <w:bookmarkStart w:id="60" w:name="_Toc13586"/>
      <w:r>
        <w:rPr>
          <w:rFonts w:ascii="Times New Roman" w:hAnsi="Times New Roman" w:eastAsia="仿宋_GB2312" w:cs="Times New Roman"/>
          <w:sz w:val="28"/>
          <w:szCs w:val="28"/>
        </w:rPr>
        <w:t>（2）《突发环境事件信息报告办法》，（环境保护部令第17号），2011年5月1日；</w:t>
      </w:r>
      <w:bookmarkEnd w:id="53"/>
      <w:bookmarkEnd w:id="54"/>
      <w:bookmarkEnd w:id="55"/>
      <w:bookmarkEnd w:id="56"/>
      <w:bookmarkEnd w:id="57"/>
      <w:bookmarkEnd w:id="58"/>
      <w:bookmarkEnd w:id="59"/>
      <w:bookmarkEnd w:id="60"/>
    </w:p>
    <w:p>
      <w:pPr>
        <w:spacing w:line="360" w:lineRule="auto"/>
        <w:ind w:left="200" w:firstLine="560"/>
        <w:rPr>
          <w:rFonts w:ascii="Times New Roman" w:hAnsi="Times New Roman" w:eastAsia="仿宋_GB2312" w:cs="Times New Roman"/>
          <w:sz w:val="28"/>
          <w:szCs w:val="28"/>
        </w:rPr>
      </w:pPr>
      <w:bookmarkStart w:id="61" w:name="_Toc26653"/>
      <w:bookmarkStart w:id="62" w:name="_Toc27040"/>
      <w:bookmarkStart w:id="63" w:name="_Toc8551"/>
      <w:bookmarkStart w:id="64" w:name="_Toc16766"/>
      <w:bookmarkStart w:id="65" w:name="_Toc28232"/>
      <w:bookmarkStart w:id="66" w:name="_Toc9441"/>
      <w:bookmarkStart w:id="67" w:name="_Toc13485"/>
      <w:bookmarkStart w:id="68" w:name="_Toc2578"/>
      <w:r>
        <w:rPr>
          <w:rFonts w:ascii="Times New Roman" w:hAnsi="Times New Roman" w:eastAsia="仿宋_GB2312" w:cs="Times New Roman"/>
          <w:sz w:val="28"/>
          <w:szCs w:val="28"/>
        </w:rPr>
        <w:t>（3）《企业事业单位突发环境事件应急预案备案管理办法（试行）》（环发[2015]4号），2015年1月8日；</w:t>
      </w:r>
      <w:bookmarkEnd w:id="61"/>
      <w:bookmarkEnd w:id="62"/>
      <w:bookmarkEnd w:id="63"/>
      <w:bookmarkEnd w:id="64"/>
      <w:bookmarkEnd w:id="65"/>
      <w:bookmarkEnd w:id="66"/>
      <w:bookmarkEnd w:id="67"/>
      <w:bookmarkEnd w:id="68"/>
    </w:p>
    <w:p>
      <w:pPr>
        <w:spacing w:line="360" w:lineRule="auto"/>
        <w:ind w:left="200" w:firstLine="560"/>
        <w:rPr>
          <w:rFonts w:ascii="Times New Roman" w:hAnsi="Times New Roman" w:eastAsia="仿宋_GB2312" w:cs="Times New Roman"/>
          <w:sz w:val="28"/>
          <w:szCs w:val="28"/>
        </w:rPr>
      </w:pPr>
      <w:bookmarkStart w:id="69" w:name="_Toc3542"/>
      <w:bookmarkStart w:id="70" w:name="_Toc21504"/>
      <w:bookmarkStart w:id="71" w:name="_Toc23959"/>
      <w:bookmarkStart w:id="72" w:name="_Toc25996"/>
      <w:bookmarkStart w:id="73" w:name="_Toc27776"/>
      <w:bookmarkStart w:id="74" w:name="_Toc22956"/>
      <w:bookmarkStart w:id="75" w:name="_Toc17366"/>
      <w:bookmarkStart w:id="76" w:name="_Toc6476"/>
      <w:r>
        <w:rPr>
          <w:rFonts w:ascii="Times New Roman" w:hAnsi="Times New Roman" w:eastAsia="仿宋_GB2312" w:cs="Times New Roman"/>
          <w:sz w:val="28"/>
          <w:szCs w:val="28"/>
        </w:rPr>
        <w:t>（4）</w:t>
      </w:r>
      <w:bookmarkStart w:id="77" w:name="_Toc16931"/>
      <w:bookmarkStart w:id="78" w:name="_Toc20152"/>
      <w:r>
        <w:rPr>
          <w:rFonts w:ascii="Times New Roman" w:hAnsi="Times New Roman" w:eastAsia="仿宋_GB2312" w:cs="Times New Roman"/>
          <w:sz w:val="28"/>
          <w:szCs w:val="28"/>
        </w:rPr>
        <w:t>《陕西省环境保护厅办公室关于进一步加强环境应急预案管理工作的函》（陕环函[2017]183号）；</w:t>
      </w:r>
      <w:bookmarkEnd w:id="77"/>
      <w:bookmarkEnd w:id="78"/>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（5）《突发环境事件应急管理办法》（环境保护部令第34号），2015年6月5日；</w:t>
      </w:r>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（6）《突发环境事件调查处理办法》（环境保护部令第32号），2015年3月1日；</w:t>
      </w:r>
    </w:p>
    <w:bookmarkEnd w:id="69"/>
    <w:bookmarkEnd w:id="70"/>
    <w:bookmarkEnd w:id="71"/>
    <w:bookmarkEnd w:id="72"/>
    <w:bookmarkEnd w:id="73"/>
    <w:bookmarkEnd w:id="74"/>
    <w:bookmarkEnd w:id="75"/>
    <w:bookmarkEnd w:id="76"/>
    <w:p>
      <w:pPr>
        <w:numPr>
          <w:ilvl w:val="255"/>
          <w:numId w:val="0"/>
        </w:numPr>
        <w:spacing w:line="360" w:lineRule="auto"/>
        <w:ind w:left="200" w:firstLine="560"/>
        <w:rPr>
          <w:rFonts w:ascii="Times New Roman" w:hAnsi="Times New Roman" w:eastAsia="仿宋_GB2312" w:cs="Times New Roman"/>
          <w:sz w:val="28"/>
          <w:szCs w:val="28"/>
        </w:rPr>
      </w:pPr>
      <w:bookmarkStart w:id="79" w:name="_Toc26538"/>
      <w:bookmarkStart w:id="80" w:name="_Toc18415"/>
      <w:bookmarkStart w:id="81" w:name="_Toc26930"/>
      <w:bookmarkStart w:id="82" w:name="_Toc3088"/>
      <w:bookmarkStart w:id="83" w:name="_Toc17553"/>
      <w:bookmarkStart w:id="84" w:name="_Toc16978"/>
      <w:bookmarkStart w:id="85" w:name="_Toc1023"/>
      <w:bookmarkStart w:id="86" w:name="_Toc25309"/>
      <w:r>
        <w:rPr>
          <w:rFonts w:ascii="Times New Roman" w:hAnsi="Times New Roman" w:eastAsia="仿宋_GB2312" w:cs="Times New Roman"/>
          <w:sz w:val="28"/>
          <w:szCs w:val="28"/>
        </w:rPr>
        <w:t>（7）</w:t>
      </w:r>
      <w:bookmarkEnd w:id="79"/>
      <w:bookmarkEnd w:id="80"/>
      <w:bookmarkEnd w:id="81"/>
      <w:bookmarkEnd w:id="82"/>
      <w:bookmarkEnd w:id="83"/>
      <w:bookmarkEnd w:id="84"/>
      <w:bookmarkEnd w:id="85"/>
      <w:bookmarkEnd w:id="86"/>
      <w:r>
        <w:rPr>
          <w:rFonts w:ascii="Times New Roman" w:hAnsi="Times New Roman" w:eastAsia="仿宋_GB2312" w:cs="Times New Roman"/>
          <w:sz w:val="28"/>
          <w:szCs w:val="28"/>
        </w:rPr>
        <w:t>《陕西省突发环境事件应急预案管理暂行办法》，2011年10月8日。</w:t>
      </w:r>
      <w:bookmarkStart w:id="87" w:name="_Toc29803"/>
      <w:bookmarkStart w:id="88" w:name="_Toc32517"/>
      <w:bookmarkStart w:id="89" w:name="_Toc27470"/>
      <w:bookmarkStart w:id="90" w:name="_Toc20955"/>
      <w:bookmarkStart w:id="91" w:name="_Toc29287"/>
      <w:bookmarkStart w:id="92" w:name="_Toc10425"/>
      <w:bookmarkStart w:id="93" w:name="_Toc27600"/>
      <w:bookmarkStart w:id="94" w:name="_Toc5434"/>
      <w:bookmarkStart w:id="95" w:name="_Toc1015"/>
      <w:bookmarkStart w:id="96" w:name="_Toc30653"/>
      <w:bookmarkStart w:id="97" w:name="_Toc13744"/>
      <w:bookmarkStart w:id="98" w:name="_Toc30082"/>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（8）《陕西省人民政府办公厅关于印发省突发环境事件应急预案的通知》，陕西省应急办，2016年9月24日；</w:t>
      </w:r>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（9）《重点环境管理危险化学品环境风险评估报告编制指南（试行）》，（环办[2013]28号）；</w:t>
      </w:r>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（10）《企业事业单位突发环境事件应急预案评审工作指南（试行）》环办应急[2018]8号。</w:t>
      </w:r>
    </w:p>
    <w:p>
      <w:pPr>
        <w:pStyle w:val="4"/>
        <w:keepNext w:val="0"/>
        <w:keepLines w:val="0"/>
        <w:spacing w:line="360" w:lineRule="auto"/>
        <w:ind w:left="420"/>
        <w:rPr>
          <w:rFonts w:eastAsia="仿宋_GB2312"/>
          <w:b w:val="0"/>
          <w:szCs w:val="28"/>
        </w:rPr>
      </w:pPr>
      <w:bookmarkStart w:id="99" w:name="_Toc17539"/>
      <w:bookmarkStart w:id="100" w:name="_Toc6505"/>
      <w:r>
        <w:rPr>
          <w:rFonts w:eastAsia="仿宋_GB2312"/>
          <w:b w:val="0"/>
          <w:szCs w:val="28"/>
        </w:rPr>
        <w:t>1.2.3相关标准</w:t>
      </w:r>
      <w:bookmarkEnd w:id="87"/>
      <w:bookmarkEnd w:id="88"/>
      <w:bookmarkEnd w:id="89"/>
      <w:bookmarkEnd w:id="90"/>
      <w:bookmarkEnd w:id="99"/>
      <w:bookmarkEnd w:id="100"/>
    </w:p>
    <w:bookmarkEnd w:id="91"/>
    <w:bookmarkEnd w:id="92"/>
    <w:bookmarkEnd w:id="93"/>
    <w:bookmarkEnd w:id="94"/>
    <w:bookmarkEnd w:id="95"/>
    <w:bookmarkEnd w:id="96"/>
    <w:bookmarkEnd w:id="97"/>
    <w:bookmarkEnd w:id="98"/>
    <w:p>
      <w:pPr>
        <w:numPr>
          <w:ilvl w:val="0"/>
          <w:numId w:val="1"/>
        </w:numPr>
        <w:spacing w:line="360" w:lineRule="auto"/>
        <w:ind w:left="200" w:firstLine="560"/>
        <w:jc w:val="left"/>
        <w:rPr>
          <w:rFonts w:ascii="Times New Roman" w:hAnsi="Times New Roman" w:eastAsia="仿宋_GB2312" w:cs="Times New Roman"/>
          <w:sz w:val="28"/>
          <w:szCs w:val="28"/>
        </w:rPr>
      </w:pPr>
      <w:bookmarkStart w:id="101" w:name="_Toc20039"/>
      <w:bookmarkStart w:id="102" w:name="_Toc31576"/>
      <w:bookmarkStart w:id="103" w:name="_Toc19324"/>
      <w:bookmarkStart w:id="104" w:name="_Toc16284"/>
      <w:bookmarkStart w:id="105" w:name="_Toc16656"/>
      <w:bookmarkStart w:id="106" w:name="_Toc21748"/>
      <w:bookmarkStart w:id="107" w:name="_Toc17797"/>
      <w:bookmarkStart w:id="108" w:name="_Toc6604"/>
      <w:bookmarkStart w:id="109" w:name="_Toc32185"/>
      <w:bookmarkStart w:id="110" w:name="_Toc3504"/>
      <w:bookmarkStart w:id="111" w:name="_Toc20440"/>
      <w:bookmarkStart w:id="112" w:name="_Toc7208"/>
      <w:r>
        <w:rPr>
          <w:rFonts w:ascii="Times New Roman" w:hAnsi="Times New Roman" w:eastAsia="仿宋_GB2312" w:cs="Times New Roman"/>
          <w:sz w:val="28"/>
          <w:szCs w:val="28"/>
        </w:rPr>
        <w:t>《建设项目环境风险评价技术导则》（HJ/T 169-2004）；</w:t>
      </w:r>
    </w:p>
    <w:p>
      <w:pPr>
        <w:numPr>
          <w:ilvl w:val="0"/>
          <w:numId w:val="1"/>
        </w:numPr>
        <w:spacing w:line="360" w:lineRule="auto"/>
        <w:ind w:left="200" w:firstLine="56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《突发环境事件应急监测技术规范》（HJ 589-2010）；</w:t>
      </w:r>
    </w:p>
    <w:p>
      <w:pPr>
        <w:numPr>
          <w:ilvl w:val="0"/>
          <w:numId w:val="1"/>
        </w:numPr>
        <w:spacing w:line="360" w:lineRule="auto"/>
        <w:ind w:left="200" w:firstLine="56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《地表水环境质量标准》（GB 3838-2002）；</w:t>
      </w:r>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（4）《地下水环境质量标准》（GB 14848-1993）；</w:t>
      </w:r>
    </w:p>
    <w:p>
      <w:pPr>
        <w:spacing w:line="360" w:lineRule="auto"/>
        <w:ind w:left="200" w:firstLine="560"/>
        <w:rPr>
          <w:rFonts w:ascii="Times New Roman" w:hAnsi="Times New Roman" w:eastAsia="仿宋_GB2312" w:cs="Times New Roman"/>
          <w:sz w:val="28"/>
          <w:szCs w:val="28"/>
        </w:rPr>
      </w:pPr>
      <w:bookmarkStart w:id="113" w:name="_Toc30276"/>
      <w:bookmarkStart w:id="114" w:name="_Toc19022"/>
      <w:bookmarkStart w:id="115" w:name="_Toc19533"/>
      <w:bookmarkStart w:id="116" w:name="_Toc27016"/>
      <w:bookmarkStart w:id="117" w:name="_Toc6757"/>
      <w:bookmarkStart w:id="118" w:name="_Toc22339"/>
      <w:bookmarkStart w:id="119" w:name="_Toc19802"/>
      <w:bookmarkStart w:id="120" w:name="_Toc4383"/>
      <w:bookmarkStart w:id="121" w:name="_Toc28765"/>
      <w:bookmarkStart w:id="122" w:name="_Toc15567"/>
      <w:bookmarkStart w:id="123" w:name="_Toc6346"/>
      <w:bookmarkStart w:id="124" w:name="_Toc25146"/>
      <w:r>
        <w:rPr>
          <w:rFonts w:ascii="Times New Roman" w:hAnsi="Times New Roman" w:eastAsia="仿宋_GB2312" w:cs="Times New Roman"/>
          <w:sz w:val="28"/>
          <w:szCs w:val="28"/>
        </w:rPr>
        <w:t>（5）《大气污染物综合排放标准》（GB 16297-1996）；</w:t>
      </w:r>
      <w:bookmarkEnd w:id="113"/>
      <w:bookmarkEnd w:id="114"/>
      <w:bookmarkEnd w:id="115"/>
      <w:bookmarkEnd w:id="116"/>
      <w:bookmarkEnd w:id="117"/>
      <w:bookmarkEnd w:id="118"/>
      <w:bookmarkEnd w:id="119"/>
      <w:bookmarkEnd w:id="120"/>
      <w:bookmarkEnd w:id="121"/>
      <w:bookmarkEnd w:id="122"/>
      <w:bookmarkEnd w:id="123"/>
      <w:bookmarkEnd w:id="124"/>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（6）《城镇生活污水处理厂污染物排放标准》（DB 18918-2002）；</w:t>
      </w:r>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（7）《工业企业厂界环境噪声排放标准》（GB 12348-2008）；</w:t>
      </w:r>
    </w:p>
    <w:p>
      <w:pPr>
        <w:spacing w:line="360" w:lineRule="auto"/>
        <w:ind w:left="420" w:leftChars="200"/>
        <w:rPr>
          <w:rFonts w:ascii="Times New Roman" w:hAnsi="Times New Roman" w:eastAsia="仿宋_GB2312" w:cs="Times New Roman"/>
          <w:sz w:val="28"/>
          <w:szCs w:val="28"/>
        </w:rPr>
      </w:pPr>
      <w:r>
        <w:rPr>
          <w:rFonts w:ascii="Times New Roman" w:hAnsi="Times New Roman" w:eastAsia="仿宋_GB2312" w:cs="Times New Roman"/>
          <w:sz w:val="28"/>
          <w:szCs w:val="28"/>
        </w:rPr>
        <w:t>（8）《一般工业固体废物贮存、处置场污染控制标准》（GB18599-2001）；（9）《危险废物鉴别标准》（GB 5085-2007）。</w:t>
      </w:r>
      <w:bookmarkEnd w:id="101"/>
      <w:bookmarkEnd w:id="102"/>
      <w:bookmarkEnd w:id="103"/>
      <w:bookmarkEnd w:id="104"/>
      <w:bookmarkEnd w:id="105"/>
      <w:bookmarkEnd w:id="106"/>
      <w:bookmarkEnd w:id="107"/>
      <w:bookmarkEnd w:id="108"/>
      <w:bookmarkEnd w:id="109"/>
      <w:bookmarkEnd w:id="110"/>
      <w:bookmarkEnd w:id="111"/>
      <w:bookmarkEnd w:id="112"/>
    </w:p>
    <w:p>
      <w:pPr>
        <w:pStyle w:val="4"/>
        <w:keepNext w:val="0"/>
        <w:keepLines w:val="0"/>
        <w:spacing w:line="360" w:lineRule="auto"/>
        <w:ind w:left="420"/>
        <w:rPr>
          <w:rFonts w:eastAsia="仿宋_GB2312"/>
          <w:b w:val="0"/>
          <w:szCs w:val="28"/>
        </w:rPr>
      </w:pPr>
      <w:bookmarkStart w:id="125" w:name="_Toc8444"/>
      <w:bookmarkStart w:id="126" w:name="_Toc11267"/>
      <w:bookmarkStart w:id="127" w:name="_Toc13473"/>
      <w:bookmarkStart w:id="128" w:name="_Toc19126"/>
      <w:bookmarkStart w:id="129" w:name="_Toc12577"/>
      <w:bookmarkStart w:id="130" w:name="_Toc17069"/>
      <w:r>
        <w:rPr>
          <w:rFonts w:eastAsia="仿宋_GB2312"/>
          <w:b w:val="0"/>
          <w:szCs w:val="28"/>
        </w:rPr>
        <w:t>1.2.4其他资料</w:t>
      </w:r>
      <w:bookmarkEnd w:id="125"/>
      <w:bookmarkEnd w:id="126"/>
      <w:bookmarkEnd w:id="127"/>
      <w:bookmarkEnd w:id="128"/>
      <w:bookmarkEnd w:id="129"/>
      <w:bookmarkEnd w:id="130"/>
    </w:p>
    <w:p>
      <w:pPr>
        <w:spacing w:line="360" w:lineRule="auto"/>
        <w:ind w:left="200"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（1）《西咸新区秦汉新城朝阳污水处理厂工程环境影响报告书》，西安地质矿产研究所，2013年10月；</w:t>
      </w:r>
    </w:p>
    <w:p>
      <w:pPr>
        <w:spacing w:line="360" w:lineRule="auto"/>
        <w:ind w:left="200" w:firstLine="560"/>
        <w:rPr>
          <w:rFonts w:ascii="Times New Roman" w:hAnsi="Times New Roman" w:eastAsia="仿宋_GB2312" w:cs="Times New Roman"/>
          <w:sz w:val="28"/>
          <w:szCs w:val="28"/>
        </w:rPr>
        <w:sectPr>
          <w:footerReference r:id="rId3" w:type="default"/>
          <w:pgSz w:w="11906" w:h="16838"/>
          <w:pgMar w:top="1417" w:right="1417" w:bottom="1417" w:left="1417" w:header="851" w:footer="992" w:gutter="0"/>
          <w:pgNumType w:start="1"/>
          <w:cols w:space="0" w:num="1"/>
          <w:docGrid w:type="lines" w:linePitch="389" w:charSpace="0"/>
        </w:sectPr>
      </w:pPr>
      <w:r>
        <w:rPr>
          <w:rFonts w:ascii="Times New Roman" w:hAnsi="Times New Roman" w:eastAsia="仿宋_GB2312" w:cs="Times New Roman"/>
          <w:sz w:val="28"/>
          <w:szCs w:val="28"/>
        </w:rPr>
        <w:t>（2）《关于对西咸新区秦汉新城朝阳污水处理厂工程环境影响报告书的批复》，秦汉环批复[201]15号。</w:t>
      </w:r>
      <w:r>
        <w:rPr>
          <w:rFonts w:hint="eastAsia" w:ascii="Times New Roman" w:hAnsi="Times New Roman" w:eastAsia="仿宋_GB2312" w:cs="Times New Roman"/>
          <w:sz w:val="28"/>
          <w:szCs w:val="28"/>
        </w:rPr>
        <w:t>。</w:t>
      </w:r>
    </w:p>
    <w:p>
      <w:pPr>
        <w:pStyle w:val="3"/>
        <w:spacing w:line="360" w:lineRule="auto"/>
      </w:pPr>
      <w:bookmarkStart w:id="131" w:name="_Toc27594"/>
      <w:r>
        <w:t>2预案编制的指导思想和编制原则</w:t>
      </w:r>
      <w:bookmarkEnd w:id="15"/>
      <w:bookmarkEnd w:id="131"/>
    </w:p>
    <w:p>
      <w:pPr>
        <w:pStyle w:val="2"/>
        <w:spacing w:line="360" w:lineRule="auto"/>
      </w:pPr>
      <w:bookmarkStart w:id="132" w:name="_Toc16822"/>
      <w:bookmarkStart w:id="133" w:name="_Toc424024588"/>
      <w:bookmarkStart w:id="134" w:name="_Toc26082"/>
      <w:r>
        <w:t>2.1指导思想</w:t>
      </w:r>
      <w:bookmarkEnd w:id="132"/>
      <w:bookmarkEnd w:id="133"/>
      <w:bookmarkEnd w:id="134"/>
    </w:p>
    <w:p>
      <w:pPr>
        <w:tabs>
          <w:tab w:val="left" w:pos="840"/>
        </w:tabs>
        <w:spacing w:line="360" w:lineRule="auto"/>
        <w:ind w:firstLine="560" w:firstLineChars="200"/>
        <w:textAlignment w:val="baseline"/>
        <w:rPr>
          <w:rFonts w:ascii="Times New Roman" w:hAnsi="Times New Roman" w:eastAsia="仿宋_GB2312" w:cs="Times New Roman"/>
          <w:sz w:val="28"/>
          <w:szCs w:val="28"/>
        </w:rPr>
      </w:pPr>
      <w:r>
        <w:rPr>
          <w:rFonts w:ascii="Times New Roman" w:hAnsi="Times New Roman" w:eastAsia="仿宋_GB2312" w:cs="Times New Roman"/>
          <w:sz w:val="28"/>
          <w:szCs w:val="28"/>
        </w:rPr>
        <w:t>坚持“全面规划、合理布局、综合利用、化害为利、依靠群众、大家动手、保护环境、造福人民”的基本方针，加强对环境事件危险源的监测、监控并实施监督管理，建立环境事件风险防范体系，积极预防、及时控制、消除隐患，提高环境事件防范和处理能力，全面提升</w:t>
      </w:r>
      <w:r>
        <w:rPr>
          <w:rFonts w:hint="eastAsia" w:ascii="Times New Roman" w:hAnsi="Times New Roman" w:eastAsia="仿宋_GB2312" w:cs="Times New Roman"/>
          <w:sz w:val="28"/>
          <w:szCs w:val="28"/>
        </w:rPr>
        <w:t>本处</w:t>
      </w:r>
      <w:r>
        <w:rPr>
          <w:rFonts w:ascii="Times New Roman" w:hAnsi="Times New Roman" w:eastAsia="仿宋_GB2312" w:cs="Times New Roman"/>
          <w:sz w:val="28"/>
          <w:szCs w:val="28"/>
        </w:rPr>
        <w:t>应对突发环境事件应急管理水平。</w:t>
      </w:r>
    </w:p>
    <w:p>
      <w:pPr>
        <w:pStyle w:val="2"/>
        <w:spacing w:line="360" w:lineRule="auto"/>
      </w:pPr>
      <w:bookmarkStart w:id="135" w:name="_Toc424024589"/>
      <w:bookmarkStart w:id="136" w:name="_Toc19066"/>
      <w:bookmarkStart w:id="137" w:name="_Toc10945"/>
      <w:r>
        <w:t>2.2工作原则</w:t>
      </w:r>
      <w:bookmarkEnd w:id="135"/>
      <w:bookmarkEnd w:id="136"/>
      <w:bookmarkEnd w:id="137"/>
    </w:p>
    <w:p>
      <w:pPr>
        <w:tabs>
          <w:tab w:val="left" w:pos="840"/>
        </w:tabs>
        <w:spacing w:line="360" w:lineRule="auto"/>
        <w:ind w:firstLine="560" w:firstLineChars="200"/>
        <w:textAlignment w:val="baseline"/>
        <w:rPr>
          <w:rFonts w:ascii="Times New Roman" w:hAnsi="Times New Roman" w:eastAsia="仿宋_GB2312" w:cs="Times New Roman"/>
          <w:sz w:val="28"/>
          <w:szCs w:val="28"/>
        </w:rPr>
      </w:pPr>
      <w:r>
        <w:rPr>
          <w:rFonts w:ascii="Times New Roman" w:hAnsi="Times New Roman" w:eastAsia="仿宋_GB2312" w:cs="Times New Roman"/>
          <w:sz w:val="28"/>
          <w:szCs w:val="28"/>
        </w:rPr>
        <w:t>按照科学发展观</w:t>
      </w:r>
      <w:r>
        <w:rPr>
          <w:rFonts w:hint="eastAsia" w:ascii="Times New Roman" w:hAnsi="Times New Roman" w:eastAsia="仿宋_GB2312" w:cs="Times New Roman"/>
          <w:sz w:val="28"/>
          <w:szCs w:val="28"/>
        </w:rPr>
        <w:t>及</w:t>
      </w:r>
      <w:r>
        <w:rPr>
          <w:rFonts w:ascii="Times New Roman" w:hAnsi="Times New Roman" w:eastAsia="仿宋_GB2312" w:cs="Times New Roman"/>
          <w:sz w:val="28"/>
          <w:szCs w:val="28"/>
        </w:rPr>
        <w:t>构建和谐社会要求，提高应对突发环境事件的能力。</w:t>
      </w:r>
    </w:p>
    <w:p>
      <w:pPr>
        <w:tabs>
          <w:tab w:val="left" w:pos="840"/>
        </w:tabs>
        <w:spacing w:line="360" w:lineRule="auto"/>
        <w:ind w:firstLine="560" w:firstLineChars="200"/>
        <w:textAlignment w:val="baseline"/>
        <w:rPr>
          <w:rFonts w:ascii="Times New Roman" w:hAnsi="Times New Roman" w:eastAsia="仿宋_GB2312" w:cs="Times New Roman"/>
          <w:sz w:val="28"/>
          <w:szCs w:val="28"/>
        </w:rPr>
      </w:pPr>
      <w:r>
        <w:rPr>
          <w:rFonts w:ascii="Times New Roman" w:hAnsi="Times New Roman" w:eastAsia="仿宋_GB2312" w:cs="Times New Roman"/>
          <w:sz w:val="28"/>
          <w:szCs w:val="28"/>
        </w:rPr>
        <w:t>（1）坚持以人为本，预防为主的方针。加强对环境事件危险源的监测、监控</w:t>
      </w:r>
      <w:r>
        <w:rPr>
          <w:rFonts w:hint="eastAsia" w:ascii="Times New Roman" w:hAnsi="Times New Roman" w:eastAsia="仿宋_GB2312" w:cs="Times New Roman"/>
          <w:sz w:val="28"/>
          <w:szCs w:val="28"/>
        </w:rPr>
        <w:t>及</w:t>
      </w:r>
      <w:r>
        <w:rPr>
          <w:rFonts w:ascii="Times New Roman" w:hAnsi="Times New Roman" w:eastAsia="仿宋_GB2312" w:cs="Times New Roman"/>
          <w:sz w:val="28"/>
          <w:szCs w:val="28"/>
        </w:rPr>
        <w:t>监督管理，建立环境事件风险防范体系，积极预防、及时控制、消除隐患，提高环境事件防范和处理能力，尽可能避免或减少突发环境事件的发生，消除或减轻环境事件造成的中长期影响，最大程度保障环境安全。</w:t>
      </w:r>
    </w:p>
    <w:p>
      <w:pPr>
        <w:tabs>
          <w:tab w:val="left" w:pos="840"/>
        </w:tabs>
        <w:spacing w:line="360" w:lineRule="auto"/>
        <w:ind w:firstLine="560" w:firstLineChars="200"/>
        <w:textAlignment w:val="baseline"/>
        <w:rPr>
          <w:rFonts w:ascii="Times New Roman" w:hAnsi="Times New Roman" w:eastAsia="仿宋_GB2312" w:cs="Times New Roman"/>
          <w:sz w:val="28"/>
          <w:szCs w:val="28"/>
        </w:rPr>
      </w:pPr>
      <w:r>
        <w:rPr>
          <w:rFonts w:ascii="Times New Roman" w:hAnsi="Times New Roman" w:eastAsia="仿宋_GB2312" w:cs="Times New Roman"/>
          <w:sz w:val="28"/>
          <w:szCs w:val="28"/>
        </w:rPr>
        <w:t>（2）坚持统一领导，分类管理，属地为主，分级响应。在</w:t>
      </w:r>
      <w:r>
        <w:rPr>
          <w:rFonts w:hint="eastAsia" w:ascii="Times New Roman" w:hAnsi="Times New Roman" w:eastAsia="仿宋_GB2312" w:cs="Times New Roman"/>
          <w:sz w:val="28"/>
          <w:szCs w:val="28"/>
        </w:rPr>
        <w:t>西咸新区秦汉新城朝阳污水处理厂</w:t>
      </w:r>
      <w:r>
        <w:rPr>
          <w:rFonts w:ascii="Times New Roman" w:hAnsi="Times New Roman" w:eastAsia="仿宋_GB2312" w:cs="Times New Roman"/>
          <w:sz w:val="28"/>
          <w:szCs w:val="28"/>
        </w:rPr>
        <w:t>的统一领导下，各基层单位、部门要密切配合，提高快速反应能力。针对不同污染源所造成的环境污染、生态污染的特点，实行分类管理，充分发挥专业优势，采取得力措施，把危害降低到最小程度。</w:t>
      </w:r>
    </w:p>
    <w:p>
      <w:pPr>
        <w:tabs>
          <w:tab w:val="left" w:pos="840"/>
        </w:tabs>
        <w:spacing w:line="360" w:lineRule="auto"/>
        <w:ind w:firstLine="560" w:firstLineChars="200"/>
        <w:textAlignment w:val="baseline"/>
        <w:rPr>
          <w:rFonts w:ascii="Times New Roman" w:hAnsi="Times New Roman" w:eastAsia="仿宋_GB2312" w:cs="Times New Roman"/>
          <w:sz w:val="28"/>
          <w:szCs w:val="28"/>
        </w:rPr>
      </w:pPr>
      <w:r>
        <w:rPr>
          <w:rFonts w:ascii="Times New Roman" w:hAnsi="Times New Roman" w:eastAsia="仿宋_GB2312" w:cs="Times New Roman"/>
          <w:sz w:val="28"/>
          <w:szCs w:val="28"/>
        </w:rPr>
        <w:t>（3）坚持区域联动，充分利用现有资源。积极做好应对突发环境事件的物资准备、技术准备及思想准备，加强培训演练，充分发挥应急抢险救援队伍的实战能力。</w:t>
      </w:r>
    </w:p>
    <w:p>
      <w:pPr>
        <w:tabs>
          <w:tab w:val="left" w:pos="840"/>
        </w:tabs>
        <w:spacing w:line="360" w:lineRule="auto"/>
        <w:ind w:firstLine="560" w:firstLineChars="200"/>
        <w:textAlignment w:val="baseline"/>
        <w:rPr>
          <w:rFonts w:ascii="Times New Roman" w:hAnsi="Times New Roman" w:eastAsia="仿宋_GB2312" w:cs="Times New Roman"/>
          <w:sz w:val="28"/>
          <w:szCs w:val="28"/>
        </w:rPr>
      </w:pPr>
      <w:r>
        <w:rPr>
          <w:rFonts w:ascii="Times New Roman" w:hAnsi="Times New Roman" w:eastAsia="仿宋_GB2312" w:cs="Times New Roman"/>
          <w:sz w:val="28"/>
          <w:szCs w:val="28"/>
        </w:rPr>
        <w:t>（4）广泛宣传，全员培训。加强对员工、相关方、群众应急知识宣传和员工技能培训教育，提高自救、互救和应对突发事件的能力。</w:t>
      </w:r>
    </w:p>
    <w:p>
      <w:pPr>
        <w:pStyle w:val="3"/>
        <w:spacing w:line="360" w:lineRule="auto"/>
        <w:sectPr>
          <w:pgSz w:w="11906" w:h="16838"/>
          <w:pgMar w:top="1417" w:right="1417" w:bottom="1417" w:left="1417" w:header="851" w:footer="992" w:gutter="0"/>
          <w:cols w:space="0" w:num="1"/>
          <w:docGrid w:type="lines" w:linePitch="389" w:charSpace="0"/>
        </w:sectPr>
      </w:pPr>
      <w:bookmarkStart w:id="138" w:name="_Toc14175"/>
    </w:p>
    <w:p>
      <w:pPr>
        <w:pStyle w:val="3"/>
        <w:spacing w:line="360" w:lineRule="auto"/>
      </w:pPr>
      <w:bookmarkStart w:id="139" w:name="_Toc18529"/>
      <w:r>
        <w:t>3预案编制的简要过程</w:t>
      </w:r>
      <w:bookmarkEnd w:id="138"/>
      <w:bookmarkEnd w:id="139"/>
    </w:p>
    <w:p>
      <w:pPr>
        <w:tabs>
          <w:tab w:val="left" w:pos="840"/>
        </w:tabs>
        <w:spacing w:line="360" w:lineRule="auto"/>
        <w:ind w:firstLine="560" w:firstLineChars="200"/>
        <w:textAlignment w:val="baseline"/>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西咸新区秦汉新城朝阳污水处理厂组</w:t>
      </w:r>
      <w:r>
        <w:rPr>
          <w:rFonts w:ascii="Times New Roman" w:hAnsi="Times New Roman" w:eastAsia="仿宋_GB2312" w:cs="Times New Roman"/>
          <w:sz w:val="28"/>
          <w:szCs w:val="28"/>
        </w:rPr>
        <w:t>建突发环境事件应急预案编制组，由</w:t>
      </w:r>
      <w:r>
        <w:rPr>
          <w:rFonts w:hint="eastAsia" w:ascii="Times New Roman" w:hAnsi="Times New Roman" w:eastAsia="仿宋_GB2312" w:cs="Times New Roman"/>
          <w:sz w:val="28"/>
          <w:szCs w:val="28"/>
        </w:rPr>
        <w:t>企业</w:t>
      </w:r>
      <w:r>
        <w:rPr>
          <w:rFonts w:ascii="Times New Roman" w:hAnsi="Times New Roman" w:eastAsia="仿宋_GB2312" w:cs="Times New Roman"/>
          <w:sz w:val="28"/>
          <w:szCs w:val="28"/>
        </w:rPr>
        <w:t>负责人担任指挥部总指挥，</w:t>
      </w:r>
      <w:bookmarkStart w:id="140" w:name="_Toc2118"/>
      <w:bookmarkStart w:id="141" w:name="_Toc27227"/>
      <w:bookmarkStart w:id="142" w:name="_Toc20183"/>
      <w:bookmarkStart w:id="143" w:name="_Toc4709"/>
      <w:bookmarkStart w:id="144" w:name="_Toc21602"/>
      <w:bookmarkStart w:id="145" w:name="_Toc20973"/>
      <w:r>
        <w:rPr>
          <w:rFonts w:ascii="Times New Roman" w:hAnsi="Times New Roman" w:eastAsia="仿宋_GB2312" w:cs="Times New Roman"/>
          <w:sz w:val="28"/>
          <w:szCs w:val="28"/>
        </w:rPr>
        <w:t>其他部门领导组成指挥部成员。本</w:t>
      </w:r>
      <w:r>
        <w:rPr>
          <w:rFonts w:hint="eastAsia" w:ascii="Times New Roman" w:hAnsi="Times New Roman" w:eastAsia="仿宋_GB2312" w:cs="Times New Roman"/>
          <w:sz w:val="28"/>
          <w:szCs w:val="28"/>
        </w:rPr>
        <w:t>公司</w:t>
      </w:r>
      <w:r>
        <w:rPr>
          <w:rFonts w:ascii="Times New Roman" w:hAnsi="Times New Roman" w:eastAsia="仿宋_GB2312" w:cs="Times New Roman"/>
          <w:sz w:val="28"/>
          <w:szCs w:val="28"/>
        </w:rPr>
        <w:t>成立公司</w:t>
      </w:r>
      <w:r>
        <w:rPr>
          <w:rFonts w:hint="eastAsia" w:ascii="Times New Roman" w:hAnsi="Times New Roman" w:eastAsia="仿宋_GB2312" w:cs="Times New Roman"/>
          <w:sz w:val="28"/>
          <w:szCs w:val="28"/>
        </w:rPr>
        <w:t>级</w:t>
      </w:r>
      <w:r>
        <w:rPr>
          <w:rFonts w:ascii="Times New Roman" w:hAnsi="Times New Roman" w:eastAsia="仿宋_GB2312" w:cs="Times New Roman"/>
          <w:sz w:val="28"/>
          <w:szCs w:val="28"/>
        </w:rPr>
        <w:t>突发环境事件应急指挥部（以下简称“指挥部”），全面负责公司突发事故预防和应急各项工作。应急总指挥由</w:t>
      </w:r>
      <w:r>
        <w:rPr>
          <w:rFonts w:hint="eastAsia" w:ascii="Times New Roman" w:hAnsi="Times New Roman" w:eastAsia="仿宋_GB2312" w:cs="Times New Roman"/>
          <w:sz w:val="28"/>
          <w:szCs w:val="28"/>
        </w:rPr>
        <w:t>总</w:t>
      </w:r>
      <w:r>
        <w:rPr>
          <w:rFonts w:ascii="Times New Roman" w:hAnsi="Times New Roman" w:eastAsia="仿宋_GB2312" w:cs="Times New Roman"/>
          <w:sz w:val="28"/>
          <w:szCs w:val="28"/>
        </w:rPr>
        <w:t>经理</w:t>
      </w:r>
      <w:r>
        <w:rPr>
          <w:rFonts w:hint="eastAsia" w:ascii="Times New Roman" w:hAnsi="Times New Roman" w:eastAsia="仿宋_GB2312" w:cs="Times New Roman"/>
          <w:sz w:val="28"/>
          <w:szCs w:val="28"/>
        </w:rPr>
        <w:t>任海群</w:t>
      </w:r>
      <w:r>
        <w:rPr>
          <w:rFonts w:ascii="Times New Roman" w:hAnsi="Times New Roman" w:eastAsia="仿宋_GB2312" w:cs="Times New Roman"/>
          <w:sz w:val="28"/>
          <w:szCs w:val="28"/>
        </w:rPr>
        <w:t>担任。</w:t>
      </w:r>
      <w:bookmarkEnd w:id="140"/>
      <w:bookmarkEnd w:id="141"/>
      <w:bookmarkEnd w:id="142"/>
      <w:bookmarkEnd w:id="143"/>
      <w:bookmarkEnd w:id="144"/>
      <w:bookmarkEnd w:id="145"/>
      <w:r>
        <w:rPr>
          <w:rFonts w:ascii="Times New Roman" w:hAnsi="Times New Roman" w:eastAsia="仿宋_GB2312" w:cs="Times New Roman"/>
          <w:sz w:val="28"/>
          <w:szCs w:val="28"/>
        </w:rPr>
        <w:t>发生重大环境突发事件时，以应急</w:t>
      </w:r>
      <w:r>
        <w:rPr>
          <w:rFonts w:hint="eastAsia" w:ascii="Times New Roman" w:hAnsi="Times New Roman" w:eastAsia="仿宋_GB2312" w:cs="Times New Roman"/>
          <w:sz w:val="28"/>
          <w:szCs w:val="28"/>
        </w:rPr>
        <w:t>指挥部</w:t>
      </w:r>
      <w:r>
        <w:rPr>
          <w:rFonts w:ascii="Times New Roman" w:hAnsi="Times New Roman" w:eastAsia="仿宋_GB2312" w:cs="Times New Roman"/>
          <w:sz w:val="28"/>
          <w:szCs w:val="28"/>
        </w:rPr>
        <w:t>为基础，全体成员立即在事故救援点集合，并由总指挥，负责企业应急救援工作的组织和指挥。针对企业可能发生的突发环境事件，做出一系列的应急演练及应急培训，并征求临近村民的意见，制定相应的预防措施及应对措施，确保应急预案的科学性、权威性、规范性和可操作性。</w:t>
      </w:r>
    </w:p>
    <w:p>
      <w:pPr>
        <w:pStyle w:val="3"/>
        <w:spacing w:line="360" w:lineRule="auto"/>
        <w:sectPr>
          <w:pgSz w:w="11906" w:h="16838"/>
          <w:pgMar w:top="1417" w:right="1417" w:bottom="1417" w:left="1417" w:header="851" w:footer="992" w:gutter="0"/>
          <w:cols w:space="0" w:num="1"/>
          <w:docGrid w:type="lines" w:linePitch="389" w:charSpace="0"/>
        </w:sectPr>
      </w:pPr>
      <w:bookmarkStart w:id="146" w:name="_Toc10960"/>
    </w:p>
    <w:p>
      <w:pPr>
        <w:pStyle w:val="3"/>
        <w:spacing w:line="360" w:lineRule="auto"/>
      </w:pPr>
      <w:bookmarkStart w:id="147" w:name="_Toc22964"/>
      <w:r>
        <w:t>4预案的主要内容</w:t>
      </w:r>
      <w:bookmarkEnd w:id="146"/>
      <w:bookmarkEnd w:id="147"/>
    </w:p>
    <w:p>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预案主要内容包括：总则、企业概况、组织指挥体系、环境风险分析、预防及预警、应急处置、后期处置、应急保障、监督与管理、附则。其中：</w:t>
      </w:r>
    </w:p>
    <w:p>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总则部分包括预案的编制目的、编制依据、事件分级、适用范围、工作原则。</w:t>
      </w:r>
    </w:p>
    <w:p>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企业概况包括企业基本概况、</w:t>
      </w:r>
      <w:r>
        <w:rPr>
          <w:rFonts w:hint="eastAsia" w:ascii="Times New Roman" w:hAnsi="Times New Roman" w:eastAsia="仿宋_GB2312" w:cs="Times New Roman"/>
          <w:sz w:val="28"/>
          <w:szCs w:val="28"/>
        </w:rPr>
        <w:t>主要生产设备、主要原辅材料、</w:t>
      </w:r>
      <w:r>
        <w:rPr>
          <w:rFonts w:ascii="Times New Roman" w:hAnsi="Times New Roman" w:eastAsia="仿宋_GB2312" w:cs="Times New Roman"/>
          <w:sz w:val="28"/>
          <w:szCs w:val="28"/>
        </w:rPr>
        <w:t>自然环境及社会概况、</w:t>
      </w:r>
      <w:r>
        <w:rPr>
          <w:rFonts w:hint="eastAsia" w:ascii="Times New Roman" w:hAnsi="Times New Roman" w:eastAsia="仿宋_GB2312" w:cs="Times New Roman"/>
          <w:sz w:val="28"/>
          <w:szCs w:val="28"/>
        </w:rPr>
        <w:t>工艺流程、</w:t>
      </w:r>
      <w:r>
        <w:rPr>
          <w:rFonts w:ascii="Times New Roman" w:hAnsi="Times New Roman" w:eastAsia="仿宋_GB2312" w:cs="Times New Roman"/>
          <w:sz w:val="28"/>
          <w:szCs w:val="28"/>
        </w:rPr>
        <w:t>企业排污去向情况及环境质量执行标准、周边环境敏感点</w:t>
      </w:r>
      <w:r>
        <w:rPr>
          <w:rFonts w:hint="eastAsia" w:ascii="Times New Roman" w:hAnsi="Times New Roman" w:eastAsia="仿宋_GB2312" w:cs="Times New Roman"/>
          <w:sz w:val="28"/>
          <w:szCs w:val="28"/>
        </w:rPr>
        <w:t>、交通情况</w:t>
      </w:r>
      <w:r>
        <w:rPr>
          <w:rFonts w:ascii="Times New Roman" w:hAnsi="Times New Roman" w:eastAsia="仿宋_GB2312" w:cs="Times New Roman"/>
          <w:sz w:val="28"/>
          <w:szCs w:val="28"/>
        </w:rPr>
        <w:t>。</w:t>
      </w:r>
    </w:p>
    <w:p>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应急</w:t>
      </w:r>
      <w:r>
        <w:rPr>
          <w:rFonts w:ascii="Times New Roman" w:hAnsi="Times New Roman" w:eastAsia="仿宋_GB2312" w:cs="Times New Roman"/>
          <w:sz w:val="28"/>
          <w:szCs w:val="28"/>
        </w:rPr>
        <w:t>组织体系包括应急指挥机构</w:t>
      </w:r>
      <w:r>
        <w:rPr>
          <w:rFonts w:hint="eastAsia" w:ascii="Times New Roman" w:hAnsi="Times New Roman" w:eastAsia="仿宋_GB2312" w:cs="Times New Roman"/>
          <w:sz w:val="28"/>
          <w:szCs w:val="28"/>
        </w:rPr>
        <w:t>及各个专业应急组的</w:t>
      </w:r>
      <w:r>
        <w:rPr>
          <w:rFonts w:ascii="Times New Roman" w:hAnsi="Times New Roman" w:eastAsia="仿宋_GB2312" w:cs="Times New Roman"/>
          <w:sz w:val="28"/>
          <w:szCs w:val="28"/>
        </w:rPr>
        <w:t>工作职责。</w:t>
      </w:r>
    </w:p>
    <w:p>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环境风险包括评价目的、风险识别、环境风险源分析、最大可信事故及后果分析。</w:t>
      </w:r>
    </w:p>
    <w:p>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环境风险防范措施</w:t>
      </w:r>
      <w:r>
        <w:rPr>
          <w:rFonts w:ascii="Times New Roman" w:hAnsi="Times New Roman" w:eastAsia="仿宋_GB2312" w:cs="Times New Roman"/>
          <w:sz w:val="28"/>
          <w:szCs w:val="28"/>
        </w:rPr>
        <w:t>包括预警分级与准备、预警发布与解除、预警措施。</w:t>
      </w:r>
    </w:p>
    <w:p>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应急处置包括应急预案启动、信息报告、分级响应、</w:t>
      </w:r>
      <w:r>
        <w:rPr>
          <w:rFonts w:hint="eastAsia" w:ascii="Times New Roman" w:hAnsi="Times New Roman" w:eastAsia="仿宋_GB2312" w:cs="Times New Roman"/>
          <w:sz w:val="28"/>
          <w:szCs w:val="28"/>
        </w:rPr>
        <w:t>指挥与协调</w:t>
      </w:r>
      <w:r>
        <w:rPr>
          <w:rFonts w:ascii="Times New Roman" w:hAnsi="Times New Roman" w:eastAsia="仿宋_GB2312" w:cs="Times New Roman"/>
          <w:sz w:val="28"/>
          <w:szCs w:val="28"/>
        </w:rPr>
        <w:t>、现场处置、信息发布、应急终止。</w:t>
      </w:r>
    </w:p>
    <w:p>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后期处置包括善后处置、治安与警戒、次生污染的防范及预防措施、调查与评估及生产秩序恢复重建。</w:t>
      </w:r>
    </w:p>
    <w:p>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应急保障包括应急保障计划、人力资源保障、资金保障、物资保障、医疗卫生保障、交通运输保障、治安维护、通讯保障、</w:t>
      </w:r>
      <w:r>
        <w:rPr>
          <w:rFonts w:hint="eastAsia" w:ascii="Times New Roman" w:hAnsi="Times New Roman" w:eastAsia="仿宋_GB2312" w:cs="Times New Roman"/>
          <w:sz w:val="28"/>
          <w:szCs w:val="28"/>
        </w:rPr>
        <w:t>交通运输保障、治安维护</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科技支撑、</w:t>
      </w:r>
      <w:r>
        <w:rPr>
          <w:rFonts w:ascii="Times New Roman" w:hAnsi="Times New Roman" w:eastAsia="仿宋_GB2312" w:cs="Times New Roman"/>
          <w:sz w:val="28"/>
          <w:szCs w:val="28"/>
        </w:rPr>
        <w:t>应急资料。</w:t>
      </w:r>
    </w:p>
    <w:p>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监督与管理包括应急预案演练、宣传培训、责任与奖惩。</w:t>
      </w:r>
    </w:p>
    <w:p>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附则包括名词术语、预案解释、修订情况及实施日期等。</w:t>
      </w:r>
    </w:p>
    <w:p>
      <w:bookmarkStart w:id="148" w:name="_Toc18948"/>
      <w:bookmarkStart w:id="149" w:name="_Toc32648"/>
    </w:p>
    <w:p>
      <w:pPr>
        <w:pStyle w:val="3"/>
      </w:pPr>
      <w:bookmarkStart w:id="150" w:name="_Toc6738"/>
      <w:r>
        <w:t>5征求意见及采纳情况说明</w:t>
      </w:r>
      <w:bookmarkEnd w:id="148"/>
      <w:bookmarkEnd w:id="149"/>
      <w:bookmarkEnd w:id="150"/>
    </w:p>
    <w:p>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本次应急预案文本编制过程中，诚恳地咨询和听取了相关专家对本公司的环境应急预案的现场处置、环境应急物资准备以及应急领导小组建立的具体要求。另外，还征求了周边相关单位四邻代表的意见，认真听取相关单位和个人对环境应急预案防范措施的良好建议。本</w:t>
      </w:r>
      <w:r>
        <w:rPr>
          <w:rFonts w:hint="eastAsia" w:ascii="Times New Roman" w:hAnsi="Times New Roman" w:eastAsia="仿宋_GB2312" w:cs="Times New Roman"/>
          <w:sz w:val="28"/>
          <w:szCs w:val="28"/>
        </w:rPr>
        <w:t>公司</w:t>
      </w:r>
      <w:r>
        <w:rPr>
          <w:rFonts w:ascii="Times New Roman" w:hAnsi="Times New Roman" w:eastAsia="仿宋_GB2312" w:cs="Times New Roman"/>
          <w:sz w:val="28"/>
          <w:szCs w:val="28"/>
        </w:rPr>
        <w:t>对上述意见进行认真的分析，结合项目实际情况，认真落实相关要求和群众提出的良好建议。</w:t>
      </w:r>
    </w:p>
    <w:p>
      <w:pPr>
        <w:spacing w:line="360" w:lineRule="auto"/>
        <w:ind w:firstLine="560" w:firstLineChars="200"/>
      </w:pPr>
      <w:r>
        <w:rPr>
          <w:rFonts w:hint="eastAsia" w:ascii="Times New Roman" w:hAnsi="Times New Roman" w:eastAsia="仿宋_GB2312" w:cs="Times New Roman"/>
          <w:sz w:val="28"/>
          <w:szCs w:val="28"/>
        </w:rPr>
        <w:t>对于</w:t>
      </w:r>
      <w:r>
        <w:rPr>
          <w:rFonts w:ascii="Times New Roman" w:hAnsi="Times New Roman" w:eastAsia="仿宋_GB2312" w:cs="Times New Roman"/>
          <w:sz w:val="28"/>
          <w:szCs w:val="28"/>
        </w:rPr>
        <w:t>提出的相关要求和建议，我</w:t>
      </w:r>
      <w:r>
        <w:rPr>
          <w:rFonts w:hint="eastAsia" w:ascii="Times New Roman" w:hAnsi="Times New Roman" w:eastAsia="仿宋_GB2312" w:cs="Times New Roman"/>
          <w:sz w:val="28"/>
          <w:szCs w:val="28"/>
        </w:rPr>
        <w:t>公司</w:t>
      </w:r>
      <w:r>
        <w:rPr>
          <w:rFonts w:ascii="Times New Roman" w:hAnsi="Times New Roman" w:eastAsia="仿宋_GB2312" w:cs="Times New Roman"/>
          <w:sz w:val="28"/>
          <w:szCs w:val="28"/>
        </w:rPr>
        <w:t>高度重视，认真听取，并努力进行改进，将环境风险发生概率控制到最低，将环境事故发生泄漏时，将危害程度控制到最小。</w:t>
      </w:r>
      <w:bookmarkStart w:id="151" w:name="_Toc293"/>
      <w:bookmarkStart w:id="152" w:name="_Toc231"/>
    </w:p>
    <w:p>
      <w:pPr>
        <w:pStyle w:val="3"/>
        <w:sectPr>
          <w:pgSz w:w="11906" w:h="16838"/>
          <w:pgMar w:top="1417" w:right="1417" w:bottom="1417" w:left="1417" w:header="851" w:footer="992" w:gutter="0"/>
          <w:cols w:space="0" w:num="1"/>
          <w:docGrid w:type="lines" w:linePitch="389" w:charSpace="0"/>
        </w:sectPr>
      </w:pPr>
    </w:p>
    <w:p>
      <w:pPr>
        <w:pStyle w:val="3"/>
      </w:pPr>
      <w:bookmarkStart w:id="153" w:name="_Toc8485"/>
      <w:r>
        <w:t>6评审情况说明</w:t>
      </w:r>
      <w:bookmarkEnd w:id="151"/>
      <w:bookmarkEnd w:id="152"/>
      <w:bookmarkEnd w:id="153"/>
    </w:p>
    <w:p>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预案编制完成后，我公司就预案内容组织相关专家进行函审。各位专家领导耐心的对应急预案文本进行了仔细的审查和评估，结合现场勘查，指出了文本存在的问题和需要完善的内容。评审会形成了书面的评估意见，根据评估意见，预案编制组逐条进行落实，进一步完善预案文本，最终形成预案最终备案稿。针对专家评估意见的修改情况列表说明如下：</w:t>
      </w:r>
      <w:r>
        <w:rPr>
          <w:rFonts w:ascii="Times New Roman" w:hAnsi="Times New Roman" w:eastAsia="仿宋_GB2312" w:cs="Times New Roman"/>
          <w:sz w:val="28"/>
          <w:szCs w:val="28"/>
        </w:rPr>
        <w:drawing>
          <wp:inline distT="0" distB="0" distL="0" distR="0">
            <wp:extent cx="5760720" cy="2799715"/>
            <wp:effectExtent l="0" t="0" r="508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760720" cy="2799715"/>
                    </a:xfrm>
                    <a:prstGeom prst="rect">
                      <a:avLst/>
                    </a:prstGeom>
                  </pic:spPr>
                </pic:pic>
              </a:graphicData>
            </a:graphic>
          </wp:inline>
        </w:drawing>
      </w:r>
    </w:p>
    <w:p>
      <w:pPr>
        <w:spacing w:line="360" w:lineRule="auto"/>
        <w:ind w:firstLine="560" w:firstLineChars="200"/>
        <w:rPr>
          <w:rFonts w:ascii="Times New Roman" w:hAnsi="Times New Roman" w:eastAsia="仿宋_GB2312" w:cs="Times New Roman"/>
          <w:sz w:val="28"/>
          <w:szCs w:val="28"/>
        </w:rPr>
      </w:pPr>
    </w:p>
    <w:sectPr>
      <w:pgSz w:w="11906" w:h="16838"/>
      <w:pgMar w:top="1417" w:right="1417" w:bottom="1417" w:left="1417" w:header="851" w:footer="992" w:gutter="0"/>
      <w:cols w:space="0" w:num="1"/>
      <w:docGrid w:type="lines" w:linePitch="38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73660" cy="15938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3660" cy="1593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ascii="Times New Roman" w:hAnsi="Times New Roman" w:cs="Times New Roman"/>
                              <w:szCs w:val="21"/>
                            </w:rPr>
                          </w:pPr>
                          <w:r>
                            <w:rPr>
                              <w:rFonts w:ascii="Times New Roman" w:hAnsi="Times New Roman" w:cs="Times New Roman"/>
                              <w:szCs w:val="21"/>
                            </w:rPr>
                            <w:fldChar w:fldCharType="begin"/>
                          </w:r>
                          <w:r>
                            <w:rPr>
                              <w:rFonts w:ascii="Times New Roman" w:hAnsi="Times New Roman" w:cs="Times New Roman"/>
                              <w:szCs w:val="21"/>
                            </w:rPr>
                            <w:instrText xml:space="preserve"> PAGE  \* MERGEFORMAT </w:instrText>
                          </w:r>
                          <w:r>
                            <w:rPr>
                              <w:rFonts w:ascii="Times New Roman" w:hAnsi="Times New Roman" w:cs="Times New Roman"/>
                              <w:szCs w:val="21"/>
                            </w:rPr>
                            <w:fldChar w:fldCharType="separate"/>
                          </w:r>
                          <w:r>
                            <w:rPr>
                              <w:rFonts w:ascii="Times New Roman" w:hAnsi="Times New Roman" w:cs="Times New Roman"/>
                              <w:szCs w:val="21"/>
                            </w:rPr>
                            <w:t>9</w:t>
                          </w:r>
                          <w:r>
                            <w:rPr>
                              <w:rFonts w:ascii="Times New Roman" w:hAnsi="Times New Roman" w:cs="Times New Roman"/>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55pt;width:5.8pt;mso-position-horizontal:center;mso-position-horizontal-relative:margin;mso-wrap-style:none;z-index:251658240;mso-width-relative:page;mso-height-relative:page;" filled="f" stroked="f" coordsize="21600,21600" o:gfxdata="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aVPgd0gAAAAMBAAAPAAAAAAAAAAEAIAAA&#10;ACIAAABkcnMvZG93bnJldi54bWxQSwECFAAUAAAACACHTuJA6tc60RICAAAEBAAADgAAAAAAAAAB&#10;ACAAAAAhAQAAZHJzL2Uyb0RvYy54bWxQSwUGAAAAAAYABgBZAQAApQUAAAAA&#10;">
              <v:fill on="f" focussize="0,0"/>
              <v:stroke on="f" weight="0.5pt"/>
              <v:imagedata o:title=""/>
              <o:lock v:ext="edit" aspectratio="f"/>
              <v:textbox inset="0mm,0mm,0mm,0mm" style="mso-fit-shape-to-text:t;">
                <w:txbxContent>
                  <w:p>
                    <w:pPr>
                      <w:snapToGrid w:val="0"/>
                      <w:rPr>
                        <w:rFonts w:ascii="Times New Roman" w:hAnsi="Times New Roman" w:cs="Times New Roman"/>
                        <w:szCs w:val="21"/>
                      </w:rPr>
                    </w:pPr>
                    <w:r>
                      <w:rPr>
                        <w:rFonts w:ascii="Times New Roman" w:hAnsi="Times New Roman" w:cs="Times New Roman"/>
                        <w:szCs w:val="21"/>
                      </w:rPr>
                      <w:fldChar w:fldCharType="begin"/>
                    </w:r>
                    <w:r>
                      <w:rPr>
                        <w:rFonts w:ascii="Times New Roman" w:hAnsi="Times New Roman" w:cs="Times New Roman"/>
                        <w:szCs w:val="21"/>
                      </w:rPr>
                      <w:instrText xml:space="preserve"> PAGE  \* MERGEFORMAT </w:instrText>
                    </w:r>
                    <w:r>
                      <w:rPr>
                        <w:rFonts w:ascii="Times New Roman" w:hAnsi="Times New Roman" w:cs="Times New Roman"/>
                        <w:szCs w:val="21"/>
                      </w:rPr>
                      <w:fldChar w:fldCharType="separate"/>
                    </w:r>
                    <w:r>
                      <w:rPr>
                        <w:rFonts w:ascii="Times New Roman" w:hAnsi="Times New Roman" w:cs="Times New Roman"/>
                        <w:szCs w:val="21"/>
                      </w:rPr>
                      <w:t>9</w:t>
                    </w:r>
                    <w:r>
                      <w:rPr>
                        <w:rFonts w:ascii="Times New Roman" w:hAnsi="Times New Roman" w:cs="Times New Roman"/>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C281F"/>
    <w:multiLevelType w:val="singleLevel"/>
    <w:tmpl w:val="564C281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9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D48F9"/>
    <w:rsid w:val="00125F96"/>
    <w:rsid w:val="003F3CF7"/>
    <w:rsid w:val="004A48DC"/>
    <w:rsid w:val="004B128A"/>
    <w:rsid w:val="005F2C88"/>
    <w:rsid w:val="00637E5F"/>
    <w:rsid w:val="00881C15"/>
    <w:rsid w:val="008D6E41"/>
    <w:rsid w:val="00996303"/>
    <w:rsid w:val="00AC5ACC"/>
    <w:rsid w:val="00C37A55"/>
    <w:rsid w:val="00DE2454"/>
    <w:rsid w:val="00F22782"/>
    <w:rsid w:val="021B561E"/>
    <w:rsid w:val="033711DB"/>
    <w:rsid w:val="037C640F"/>
    <w:rsid w:val="038269B7"/>
    <w:rsid w:val="04005427"/>
    <w:rsid w:val="0451069D"/>
    <w:rsid w:val="045117E1"/>
    <w:rsid w:val="04532C22"/>
    <w:rsid w:val="05064112"/>
    <w:rsid w:val="05CA6E49"/>
    <w:rsid w:val="06C04A6F"/>
    <w:rsid w:val="06D01275"/>
    <w:rsid w:val="07013075"/>
    <w:rsid w:val="07772B36"/>
    <w:rsid w:val="08003A52"/>
    <w:rsid w:val="080D1EBF"/>
    <w:rsid w:val="082F3989"/>
    <w:rsid w:val="08523A43"/>
    <w:rsid w:val="0877312A"/>
    <w:rsid w:val="096D0478"/>
    <w:rsid w:val="097269D0"/>
    <w:rsid w:val="097327F1"/>
    <w:rsid w:val="099C31BD"/>
    <w:rsid w:val="09AC3B2D"/>
    <w:rsid w:val="0C4D0FFF"/>
    <w:rsid w:val="0CAA5DB8"/>
    <w:rsid w:val="0D547BA0"/>
    <w:rsid w:val="0D7F1AAC"/>
    <w:rsid w:val="0E094E1D"/>
    <w:rsid w:val="0F2B65D7"/>
    <w:rsid w:val="0FAC0D36"/>
    <w:rsid w:val="103C6457"/>
    <w:rsid w:val="10D21F48"/>
    <w:rsid w:val="116B254A"/>
    <w:rsid w:val="11B72C1C"/>
    <w:rsid w:val="11E1281C"/>
    <w:rsid w:val="12D232B8"/>
    <w:rsid w:val="12E94B94"/>
    <w:rsid w:val="132F163D"/>
    <w:rsid w:val="13B6669C"/>
    <w:rsid w:val="15280624"/>
    <w:rsid w:val="154812A4"/>
    <w:rsid w:val="15572598"/>
    <w:rsid w:val="15846A95"/>
    <w:rsid w:val="164D1B8B"/>
    <w:rsid w:val="16942111"/>
    <w:rsid w:val="169E302D"/>
    <w:rsid w:val="16B00267"/>
    <w:rsid w:val="186D7887"/>
    <w:rsid w:val="18781F9A"/>
    <w:rsid w:val="18A96810"/>
    <w:rsid w:val="18AD3816"/>
    <w:rsid w:val="193D7286"/>
    <w:rsid w:val="193E6F6B"/>
    <w:rsid w:val="1947691B"/>
    <w:rsid w:val="19BE0B17"/>
    <w:rsid w:val="1A7207BA"/>
    <w:rsid w:val="1B4C708E"/>
    <w:rsid w:val="1BA7571F"/>
    <w:rsid w:val="1BF358F1"/>
    <w:rsid w:val="1C277A7D"/>
    <w:rsid w:val="1C557C84"/>
    <w:rsid w:val="1D201957"/>
    <w:rsid w:val="1D62413D"/>
    <w:rsid w:val="1D912C6F"/>
    <w:rsid w:val="1F3B7C8C"/>
    <w:rsid w:val="1F4007EF"/>
    <w:rsid w:val="20551C79"/>
    <w:rsid w:val="209E0A30"/>
    <w:rsid w:val="21451158"/>
    <w:rsid w:val="21985E8F"/>
    <w:rsid w:val="21D9238A"/>
    <w:rsid w:val="220822F4"/>
    <w:rsid w:val="22393722"/>
    <w:rsid w:val="22704CA5"/>
    <w:rsid w:val="22E5565C"/>
    <w:rsid w:val="239263BD"/>
    <w:rsid w:val="23BE62C6"/>
    <w:rsid w:val="23D658A9"/>
    <w:rsid w:val="24061DA4"/>
    <w:rsid w:val="24122EF6"/>
    <w:rsid w:val="245D48F9"/>
    <w:rsid w:val="2676110D"/>
    <w:rsid w:val="26E42180"/>
    <w:rsid w:val="28515D55"/>
    <w:rsid w:val="287874AE"/>
    <w:rsid w:val="297067FB"/>
    <w:rsid w:val="29B6640B"/>
    <w:rsid w:val="29CC761A"/>
    <w:rsid w:val="2C273C0D"/>
    <w:rsid w:val="2C4A1337"/>
    <w:rsid w:val="2CAD69B4"/>
    <w:rsid w:val="2CE94354"/>
    <w:rsid w:val="2DB73056"/>
    <w:rsid w:val="2E491400"/>
    <w:rsid w:val="2EAD08C9"/>
    <w:rsid w:val="2EC5100D"/>
    <w:rsid w:val="2EFD2E2B"/>
    <w:rsid w:val="30975C9E"/>
    <w:rsid w:val="30A82CC3"/>
    <w:rsid w:val="30C02A3A"/>
    <w:rsid w:val="31172D7E"/>
    <w:rsid w:val="312A78CA"/>
    <w:rsid w:val="33AA1794"/>
    <w:rsid w:val="340D35DE"/>
    <w:rsid w:val="34D16BFF"/>
    <w:rsid w:val="35794B4C"/>
    <w:rsid w:val="36DB4EA2"/>
    <w:rsid w:val="36DC2731"/>
    <w:rsid w:val="36DD1AE2"/>
    <w:rsid w:val="37311E27"/>
    <w:rsid w:val="374F6A6C"/>
    <w:rsid w:val="37E30D61"/>
    <w:rsid w:val="384319C6"/>
    <w:rsid w:val="38453195"/>
    <w:rsid w:val="388E6EC2"/>
    <w:rsid w:val="38A93348"/>
    <w:rsid w:val="38F973FC"/>
    <w:rsid w:val="39585849"/>
    <w:rsid w:val="39633C86"/>
    <w:rsid w:val="39DB0061"/>
    <w:rsid w:val="3A0F285A"/>
    <w:rsid w:val="3A4752D9"/>
    <w:rsid w:val="3A54015C"/>
    <w:rsid w:val="3ABD5E5D"/>
    <w:rsid w:val="3BBF37AF"/>
    <w:rsid w:val="3C874FB8"/>
    <w:rsid w:val="3DB227C3"/>
    <w:rsid w:val="3DBF54F1"/>
    <w:rsid w:val="3E267667"/>
    <w:rsid w:val="3E831073"/>
    <w:rsid w:val="3F073B9C"/>
    <w:rsid w:val="3F5F71E5"/>
    <w:rsid w:val="400E75F5"/>
    <w:rsid w:val="4034719A"/>
    <w:rsid w:val="40505C7E"/>
    <w:rsid w:val="40837E8A"/>
    <w:rsid w:val="40DF1EEF"/>
    <w:rsid w:val="4131180E"/>
    <w:rsid w:val="415E200C"/>
    <w:rsid w:val="416B7100"/>
    <w:rsid w:val="42195760"/>
    <w:rsid w:val="429A15D6"/>
    <w:rsid w:val="43667899"/>
    <w:rsid w:val="43B136CA"/>
    <w:rsid w:val="43FE590A"/>
    <w:rsid w:val="44205AA4"/>
    <w:rsid w:val="442C55EC"/>
    <w:rsid w:val="44C32C02"/>
    <w:rsid w:val="44E1693E"/>
    <w:rsid w:val="45272F82"/>
    <w:rsid w:val="452E7D83"/>
    <w:rsid w:val="4587158A"/>
    <w:rsid w:val="46B6237D"/>
    <w:rsid w:val="46D00879"/>
    <w:rsid w:val="46F74825"/>
    <w:rsid w:val="474E3F67"/>
    <w:rsid w:val="474E63F9"/>
    <w:rsid w:val="47AD7472"/>
    <w:rsid w:val="488E66FF"/>
    <w:rsid w:val="49E4193C"/>
    <w:rsid w:val="4ACC2E03"/>
    <w:rsid w:val="4AE86003"/>
    <w:rsid w:val="4B8475A5"/>
    <w:rsid w:val="4C404F6D"/>
    <w:rsid w:val="4D0F1A93"/>
    <w:rsid w:val="4D126C55"/>
    <w:rsid w:val="4EB455C3"/>
    <w:rsid w:val="4F084444"/>
    <w:rsid w:val="4FB12B15"/>
    <w:rsid w:val="4FD66236"/>
    <w:rsid w:val="5108406A"/>
    <w:rsid w:val="51437C97"/>
    <w:rsid w:val="52A81D24"/>
    <w:rsid w:val="52D7120C"/>
    <w:rsid w:val="52E00F3C"/>
    <w:rsid w:val="530C4A87"/>
    <w:rsid w:val="53345A78"/>
    <w:rsid w:val="538F6C3A"/>
    <w:rsid w:val="53973F0E"/>
    <w:rsid w:val="53F92362"/>
    <w:rsid w:val="558513FF"/>
    <w:rsid w:val="55A42E29"/>
    <w:rsid w:val="55B66418"/>
    <w:rsid w:val="55BE3DEA"/>
    <w:rsid w:val="55D304FD"/>
    <w:rsid w:val="56D740B2"/>
    <w:rsid w:val="57842AE9"/>
    <w:rsid w:val="57F9377A"/>
    <w:rsid w:val="588A1F9F"/>
    <w:rsid w:val="58991F8A"/>
    <w:rsid w:val="58994FEE"/>
    <w:rsid w:val="589C4F0B"/>
    <w:rsid w:val="58B21173"/>
    <w:rsid w:val="592E4E56"/>
    <w:rsid w:val="59D578CD"/>
    <w:rsid w:val="5AE35C1C"/>
    <w:rsid w:val="5B047391"/>
    <w:rsid w:val="5B1B45CF"/>
    <w:rsid w:val="5B353B07"/>
    <w:rsid w:val="5BE84CCB"/>
    <w:rsid w:val="5C33677C"/>
    <w:rsid w:val="5C695AE1"/>
    <w:rsid w:val="5CC81DD2"/>
    <w:rsid w:val="5CDD5FB8"/>
    <w:rsid w:val="5D1A3EB3"/>
    <w:rsid w:val="5D2E7C6C"/>
    <w:rsid w:val="5D336C97"/>
    <w:rsid w:val="5D7C3E50"/>
    <w:rsid w:val="5FE74C2A"/>
    <w:rsid w:val="60A91ED5"/>
    <w:rsid w:val="60CF6687"/>
    <w:rsid w:val="60DB7CEF"/>
    <w:rsid w:val="612B0771"/>
    <w:rsid w:val="61793AF0"/>
    <w:rsid w:val="61DB22C0"/>
    <w:rsid w:val="620F12EF"/>
    <w:rsid w:val="62584EC7"/>
    <w:rsid w:val="627A5D1A"/>
    <w:rsid w:val="62E3515B"/>
    <w:rsid w:val="632E5030"/>
    <w:rsid w:val="63D7798A"/>
    <w:rsid w:val="64D22985"/>
    <w:rsid w:val="65895405"/>
    <w:rsid w:val="66CC091C"/>
    <w:rsid w:val="67D63F0E"/>
    <w:rsid w:val="684913F1"/>
    <w:rsid w:val="68AB25EB"/>
    <w:rsid w:val="69114FF0"/>
    <w:rsid w:val="6A4B2E1D"/>
    <w:rsid w:val="6A8C7031"/>
    <w:rsid w:val="6A9508EB"/>
    <w:rsid w:val="6BF74950"/>
    <w:rsid w:val="6C877106"/>
    <w:rsid w:val="6CB35274"/>
    <w:rsid w:val="6CC56A83"/>
    <w:rsid w:val="6DAC477C"/>
    <w:rsid w:val="6DB27B01"/>
    <w:rsid w:val="6E9E6822"/>
    <w:rsid w:val="6EE47767"/>
    <w:rsid w:val="6EF370F9"/>
    <w:rsid w:val="6F4E0E52"/>
    <w:rsid w:val="710B0749"/>
    <w:rsid w:val="713113B4"/>
    <w:rsid w:val="714C439D"/>
    <w:rsid w:val="720851BD"/>
    <w:rsid w:val="725503C0"/>
    <w:rsid w:val="72F61762"/>
    <w:rsid w:val="733A340A"/>
    <w:rsid w:val="74187EA3"/>
    <w:rsid w:val="74A64875"/>
    <w:rsid w:val="74C22B5C"/>
    <w:rsid w:val="74CF21AD"/>
    <w:rsid w:val="75866947"/>
    <w:rsid w:val="76330002"/>
    <w:rsid w:val="765807D9"/>
    <w:rsid w:val="767A6AF4"/>
    <w:rsid w:val="76986202"/>
    <w:rsid w:val="76E87AE5"/>
    <w:rsid w:val="77202226"/>
    <w:rsid w:val="77E10261"/>
    <w:rsid w:val="788A12CB"/>
    <w:rsid w:val="7A1967E8"/>
    <w:rsid w:val="7B0B2AFC"/>
    <w:rsid w:val="7C266A72"/>
    <w:rsid w:val="7C77014D"/>
    <w:rsid w:val="7C821B85"/>
    <w:rsid w:val="7C8A3CDA"/>
    <w:rsid w:val="7D163A55"/>
    <w:rsid w:val="7DE52CEC"/>
    <w:rsid w:val="7E48778F"/>
    <w:rsid w:val="7E532FA0"/>
    <w:rsid w:val="7E670B49"/>
    <w:rsid w:val="7EC55D63"/>
    <w:rsid w:val="7F662A28"/>
    <w:rsid w:val="7FA054F7"/>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宋体" w:asciiTheme="minorHAnsi" w:hAnsiTheme="minorHAnsi" w:cstheme="minorBidi"/>
      <w:kern w:val="2"/>
      <w:sz w:val="21"/>
      <w:szCs w:val="22"/>
      <w:lang w:val="en-US" w:eastAsia="zh-CN" w:bidi="ar-SA"/>
    </w:rPr>
  </w:style>
  <w:style w:type="paragraph" w:styleId="3">
    <w:name w:val="heading 1"/>
    <w:basedOn w:val="1"/>
    <w:next w:val="1"/>
    <w:link w:val="19"/>
    <w:qFormat/>
    <w:uiPriority w:val="0"/>
    <w:pPr>
      <w:keepNext/>
      <w:keepLines/>
      <w:outlineLvl w:val="0"/>
    </w:pPr>
    <w:rPr>
      <w:rFonts w:ascii="Times New Roman" w:hAnsi="Times New Roman" w:eastAsia="仿宋" w:cs="Times New Roman"/>
      <w:b/>
      <w:kern w:val="44"/>
      <w:sz w:val="32"/>
    </w:rPr>
  </w:style>
  <w:style w:type="paragraph" w:styleId="2">
    <w:name w:val="heading 2"/>
    <w:basedOn w:val="1"/>
    <w:next w:val="1"/>
    <w:link w:val="20"/>
    <w:unhideWhenUsed/>
    <w:qFormat/>
    <w:uiPriority w:val="0"/>
    <w:pPr>
      <w:keepNext/>
      <w:keepLines/>
      <w:jc w:val="left"/>
      <w:outlineLvl w:val="1"/>
    </w:pPr>
    <w:rPr>
      <w:rFonts w:ascii="Times New Roman" w:hAnsi="Times New Roman" w:eastAsia="仿宋" w:cs="Times New Roman"/>
      <w:b/>
      <w:sz w:val="30"/>
      <w:szCs w:val="20"/>
    </w:rPr>
  </w:style>
  <w:style w:type="paragraph" w:styleId="4">
    <w:name w:val="heading 3"/>
    <w:basedOn w:val="1"/>
    <w:next w:val="1"/>
    <w:link w:val="17"/>
    <w:unhideWhenUsed/>
    <w:qFormat/>
    <w:uiPriority w:val="0"/>
    <w:pPr>
      <w:keepNext/>
      <w:keepLines/>
      <w:ind w:left="560" w:leftChars="200"/>
      <w:jc w:val="left"/>
      <w:outlineLvl w:val="2"/>
    </w:pPr>
    <w:rPr>
      <w:rFonts w:ascii="Times New Roman" w:hAnsi="Times New Roman" w:eastAsia="仿宋" w:cs="Times New Roman"/>
      <w:b/>
      <w:sz w:val="28"/>
    </w:rPr>
  </w:style>
  <w:style w:type="paragraph" w:styleId="5">
    <w:name w:val="heading 4"/>
    <w:basedOn w:val="1"/>
    <w:next w:val="1"/>
    <w:unhideWhenUsed/>
    <w:qFormat/>
    <w:uiPriority w:val="0"/>
    <w:pPr>
      <w:keepNext/>
      <w:keepLines/>
      <w:outlineLvl w:val="3"/>
    </w:pPr>
    <w:rPr>
      <w:rFonts w:ascii="Arial" w:hAnsi="Arial" w:eastAsia="仿宋"/>
      <w:b/>
    </w:rPr>
  </w:style>
  <w:style w:type="character" w:default="1" w:styleId="14">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6">
    <w:name w:val="Document Map"/>
    <w:basedOn w:val="1"/>
    <w:qFormat/>
    <w:uiPriority w:val="0"/>
    <w:pPr>
      <w:shd w:val="clear" w:color="auto" w:fill="000080"/>
    </w:pPr>
    <w:rPr>
      <w:rFonts w:ascii="Times New Roman" w:hAnsi="Times New Roman" w:cs="Calibri"/>
      <w:sz w:val="24"/>
      <w:szCs w:val="24"/>
    </w:rPr>
  </w:style>
  <w:style w:type="paragraph" w:styleId="7">
    <w:name w:val="annotation text"/>
    <w:basedOn w:val="1"/>
    <w:qFormat/>
    <w:uiPriority w:val="0"/>
    <w:pPr>
      <w:jc w:val="left"/>
    </w:pPr>
  </w:style>
  <w:style w:type="paragraph" w:styleId="8">
    <w:name w:val="toc 3"/>
    <w:basedOn w:val="1"/>
    <w:next w:val="1"/>
    <w:qFormat/>
    <w:uiPriority w:val="0"/>
    <w:pPr>
      <w:ind w:left="560" w:leftChars="200"/>
    </w:pPr>
    <w:rPr>
      <w:rFonts w:ascii="Times New Roman" w:hAnsi="Times New Roman" w:eastAsia="仿宋" w:cs="Calibri"/>
      <w:szCs w:val="24"/>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pPr>
      <w:tabs>
        <w:tab w:val="right" w:leader="dot" w:pos="9015"/>
      </w:tabs>
    </w:pPr>
    <w:rPr>
      <w:rFonts w:ascii="Calibri" w:hAnsi="Calibri" w:eastAsia="仿宋"/>
      <w:b/>
      <w:bCs/>
      <w:caps/>
      <w:sz w:val="32"/>
      <w:szCs w:val="20"/>
    </w:rPr>
  </w:style>
  <w:style w:type="paragraph" w:styleId="12">
    <w:name w:val="toc 4"/>
    <w:basedOn w:val="1"/>
    <w:next w:val="1"/>
    <w:qFormat/>
    <w:uiPriority w:val="0"/>
    <w:pPr>
      <w:ind w:left="1120" w:leftChars="400"/>
      <w:jc w:val="left"/>
      <w:outlineLvl w:val="3"/>
    </w:pPr>
    <w:rPr>
      <w:rFonts w:eastAsia="仿宋"/>
      <w:b/>
    </w:rPr>
  </w:style>
  <w:style w:type="paragraph" w:styleId="13">
    <w:name w:val="toc 2"/>
    <w:basedOn w:val="1"/>
    <w:next w:val="1"/>
    <w:qFormat/>
    <w:uiPriority w:val="0"/>
    <w:pPr>
      <w:ind w:left="280" w:leftChars="100"/>
    </w:pPr>
    <w:rPr>
      <w:rFonts w:eastAsia="仿宋_GB2312"/>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标题 3字符"/>
    <w:link w:val="4"/>
    <w:qFormat/>
    <w:uiPriority w:val="9"/>
    <w:rPr>
      <w:rFonts w:ascii="Times New Roman" w:hAnsi="Times New Roman" w:eastAsia="仿宋" w:cs="Times New Roman"/>
      <w:b/>
      <w:sz w:val="28"/>
    </w:rPr>
  </w:style>
  <w:style w:type="paragraph" w:customStyle="1" w:styleId="18">
    <w:name w:val="样式4"/>
    <w:basedOn w:val="1"/>
    <w:qFormat/>
    <w:uiPriority w:val="0"/>
    <w:rPr>
      <w:rFonts w:ascii="Times New Roman" w:hAnsi="Times New Roman" w:eastAsia="仿宋" w:cs="Calibri"/>
      <w:b/>
      <w:sz w:val="28"/>
      <w:szCs w:val="21"/>
    </w:rPr>
  </w:style>
  <w:style w:type="character" w:customStyle="1" w:styleId="19">
    <w:name w:val="标题 1字符"/>
    <w:link w:val="3"/>
    <w:qFormat/>
    <w:uiPriority w:val="0"/>
    <w:rPr>
      <w:rFonts w:ascii="Times New Roman" w:hAnsi="Times New Roman" w:eastAsia="仿宋"/>
      <w:b/>
      <w:bCs/>
      <w:kern w:val="44"/>
      <w:sz w:val="32"/>
      <w:szCs w:val="44"/>
    </w:rPr>
  </w:style>
  <w:style w:type="character" w:customStyle="1" w:styleId="20">
    <w:name w:val="标题 2字符"/>
    <w:link w:val="2"/>
    <w:qFormat/>
    <w:uiPriority w:val="0"/>
    <w:rPr>
      <w:rFonts w:ascii="Times New Roman" w:hAnsi="Times New Roman" w:eastAsia="仿宋" w:cs="Times New Roman"/>
      <w:b/>
      <w:kern w:val="2"/>
      <w:sz w:val="28"/>
      <w:szCs w:val="22"/>
    </w:rPr>
  </w:style>
  <w:style w:type="paragraph" w:customStyle="1" w:styleId="21">
    <w:name w:val="样式1"/>
    <w:basedOn w:val="11"/>
    <w:qFormat/>
    <w:uiPriority w:val="0"/>
  </w:style>
  <w:style w:type="paragraph" w:customStyle="1" w:styleId="22">
    <w:name w:val="样式6"/>
    <w:basedOn w:val="11"/>
    <w:next w:val="21"/>
    <w:qFormat/>
    <w:uiPriority w:val="0"/>
  </w:style>
  <w:style w:type="paragraph" w:customStyle="1" w:styleId="23">
    <w:name w:val="样式7"/>
    <w:basedOn w:val="13"/>
    <w:qFormat/>
    <w:uiPriority w:val="0"/>
    <w:pPr>
      <w:ind w:left="0" w:leftChars="0" w:firstLine="480"/>
    </w:pPr>
  </w:style>
  <w:style w:type="paragraph" w:customStyle="1" w:styleId="24">
    <w:name w:val="样式8"/>
    <w:basedOn w:val="8"/>
    <w:qFormat/>
    <w:uiPriority w:val="0"/>
    <w:pPr>
      <w:ind w:left="0" w:leftChars="0" w:firstLine="480"/>
    </w:pPr>
  </w:style>
  <w:style w:type="paragraph" w:customStyle="1" w:styleId="25">
    <w:name w:val="样式9"/>
    <w:basedOn w:val="11"/>
    <w:qFormat/>
    <w:uiPriority w:val="0"/>
  </w:style>
  <w:style w:type="paragraph" w:customStyle="1" w:styleId="26">
    <w:name w:val="样式10"/>
    <w:basedOn w:val="13"/>
    <w:qFormat/>
    <w:uiPriority w:val="0"/>
    <w:pPr>
      <w:ind w:left="560"/>
    </w:pPr>
  </w:style>
  <w:style w:type="paragraph" w:customStyle="1" w:styleId="27">
    <w:name w:val="样式11"/>
    <w:basedOn w:val="8"/>
    <w:qFormat/>
    <w:uiPriority w:val="0"/>
    <w:pPr>
      <w:ind w:left="1120"/>
    </w:pPr>
  </w:style>
  <w:style w:type="paragraph" w:customStyle="1" w:styleId="28">
    <w:name w:val="样式12"/>
    <w:basedOn w:val="12"/>
    <w:qFormat/>
    <w:uiPriority w:val="0"/>
    <w:pPr>
      <w:ind w:left="1680" w:leftChars="600"/>
    </w:pPr>
  </w:style>
  <w:style w:type="paragraph" w:customStyle="1" w:styleId="29">
    <w:name w:val="样式13"/>
    <w:basedOn w:val="5"/>
    <w:qFormat/>
    <w:uiPriority w:val="0"/>
    <w:pPr>
      <w:ind w:left="560" w:left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646</Words>
  <Characters>3685</Characters>
  <Lines>30</Lines>
  <Paragraphs>8</Paragraphs>
  <TotalTime>1</TotalTime>
  <ScaleCrop>false</ScaleCrop>
  <LinksUpToDate>false</LinksUpToDate>
  <CharactersWithSpaces>4323</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2018-11-22T02:13:00Z</dcterms:created>
  <dc:creator>Administrator</dc:creator>
  <cp:lastModifiedBy>小小慢慢長</cp:lastModifiedBy>
  <cp:lastPrinted>2018-01-25T00:27:00Z</cp:lastPrinted>
  <dcterms:modified xsi:type="dcterms:W3CDTF">2018-11-26T11:40:26Z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